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9C_47/2016 vom 29. Juni 2016</w:t>
      </w:r>
    </w:p>
    <w:p>
      <w:r>
        <w:t>Bundesgericht, 2016-06-29, DE</w:t>
      </w:r>
    </w:p>
    <w:p>
      <w:r>
        <w:rPr>
          <w:b/>
        </w:rPr>
        <w:t xml:space="preserve">Quelle: </w:t>
      </w:r>
      <w:r>
        <w:t>https://mcp.opencaselaw.ch/entscheid/bger_9C_47_2016</w:t>
      </w:r>
    </w:p>
    <w:p>
      <w:r>
        <w:t>FR: TF 9C_47/2016 du 29 juin 2016</w:t>
      </w:r>
    </w:p>
    <w:p>
      <w:r>
        <w:t>IT: TF 9C_47/2016 del 29 giugno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Die Vorinstanz hat festgestellt, dass die Versicherte ohne Gesundheitsschaden zu 20 % erwerbstätig gewesen wäre, das "Restpensum" von 80 % hat sie dem Aufgabenbereich Haushalt zugeordnet. Weiter hat sie dem Gutachten des Dr. med. B.________, Facharzt für Psychiatrie und Psychotherapie sowie für Neurologie, vom 19. Oktober 2012 Beweiskraft beigemessen und gestützt darauf festgestellt, die Versicherte sei in leidensadaptierten Tätigkeiten zu 20 % arbeitsfähig. In der Folge hat das kantonale Gericht eine Invaliditätsbemessung nach der gemischten Methode ( Art. 28a Abs. 3 IVG ; BGE 130 V 396 E. 3.3 S. 396; Urteil 9C_490/2014 vom 23. Januar 2015 E. 3.2) vorgenommen. Für den Erwerbsbereich hat es einen Invaliditätsgrad von 10 % resp. (gewichtet) 2 % errechnet; im Haushalt hat es eine Einschränkung von 40 % resp. (gewichtet) 32 % ermittelt. Beim gesamthaft resultierenden Invaliditätsgrad von 34 % hat es einen Anspruch auf eine Invalidenrente ( Art. 28 Abs. 2 IVG ) verneint.</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BGE 132 V 393 E. 3.2 und 4 S. 397 ff.; Urteil I 865/06 vom 12. Oktober 2007 E. 4 mit Hinweisen) frei überprüfbare Rechtsfrage.</w:t>
      </w:r>
    </w:p>
    <w:p>
      <w:r>
        <w:rPr>
          <w:b/>
        </w:rPr>
        <w:t>E. 3.1.3</w:t>
      </w:r>
    </w:p>
    <w:p>
      <w:r>
        <w:t>Was die Beschwerdeführerin gegen die Beweiskraft des Gutachtens des Dr. med. B.________ vorbringt, hält nicht stand: Der Experte zog bei der diagnostischen Einordnung des von ihm festgestellten "Psychosyndroms" verschiedene Möglichkeiten in Betracht; damit legte er auch nachvollziehbar dar, weshalb er keine Demenz diagnostizierte. Trotz festgestellter Inkonsistenzen (vgl. BGE 140 V 193 sowie BGE 141 V 281 E. 2.2.1 S. 287 und 3.7.1 in fine S. 295) attestierte er - zu Gunsten der Versicherten - eine weitgehende Einschränkung der Arbeitsfähigkeit. Weiter berücksichtigte er nicht nur die Erkenntnisse aus dem MRI, sondern auch die weiteren, von ihm selber erhobenen Befunde, die Anamnese sowie die Angaben der Versicherten und ihrer Tochter. Ebenso befasste er sich einleuchtend mit den Einschätzungen des behandelnden Psychiaters und den Ergebnissen der neuropsychologischen Abklärung. Ohnehin erschöpfen sich die Vorbringen der Beschwerdeführerin in Bezug auf das Gutachten des Dr. med. B.________ im Wesentlichen in appellatorischer Kritik, was nicht genügt (Urteil 9C_880/2015 vom 21. März 2016 E. 3.4 mit Hinweis auf BGE 140 III 264 E. 2.3 S. 266 f.). Somit ist weder die vorinstanzliche Beweiswürdigung noch die darauf beruhende Feststellung betreffend die Arbeitsfähigkeit (E. 2) willkürlich (E. 1.3). Sie beruhen auch nicht auf einer (anderen) Rechtsverletzung, weshalb sie für das Bundesgericht verbindlich bleiben (E. 1.1).</w:t>
      </w:r>
    </w:p>
    <w:p>
      <w:r>
        <w:rPr>
          <w:b/>
        </w:rPr>
        <w:t>E. 3.2.1</w:t>
      </w:r>
    </w:p>
    <w:p>
      <w:r>
        <w:t>Bei der Feststellung des Erwerbsstatus resp. des hypothetischen Beschäftigungsgrads ohne Gesundheitsschaden hat die Vorinstanz nicht nur auf die Angaben der Versicherten im Fragebogen Haushalt und anlässlich der Abklärung vor Ort, sondern auch auf die früher tatsächlich ausgeübte Erwerbstätigkeit abgestellt. Von einer offensichtlich unrichtigen Sachverhaltsfeststellung (E. 1.3) kann daher nicht gesprochen werden.</w:t>
      </w:r>
    </w:p>
    <w:p>
      <w:r>
        <w:rPr>
          <w:b/>
        </w:rPr>
        <w:t>E. 3.2.2</w:t>
      </w:r>
    </w:p>
    <w:p>
      <w:r>
        <w:t>Entgegen der Annahme der Beschwerdeführerin ist für die Ermittlung des hypothetischen Beschäftigungsgrads nicht entscheidend, welches Ausmass der Erwerbstätigkeit ihr im Gesundheitsfall zugemutet werden resp. sie ausüben könnte, sondern in welchem Pensum sie hypothetisch erwerbstätig wäre ( BGE 133 V 504 E. 3.3 S. 507; Urteil 9C_49/2008 vom 28. Juli 2008 E. 3.3; je mit Hinweisen). Im Fokus steht dabei die betroffene Person und nicht das (behauptete) Verhalten einer Mehrheit der Männer. Wohl hat die Vorinstanz in Bezug auf das Ausmass der Erwerbstätigkeit die konkreten Umstände zu berücksichtigen (statt vieler Urteil 9C_565/2015 vom 29. Januar 2016 E. 3.2); es macht aber keinen grundlegenden Unterschied, ob die verbleibende Zeit für den Haushalt, für andere Aufgaben wie die Pflege des Ehemannes oder für Freizeit verwendet wird (vgl. dazu auch Urteil 9C_178/2015 vom 4. Mai 2016 E. 7 [zur Publikation bestimmt]). Sodann ist in diesem Zusammenhang keine Verletzung des Anspruchs auf rechtliches Gehör durch mangelhafte Aufklärung über die rechtlichen Folgen von Sachverhaltsangaben der Versicherten ersichtlich: Diese war gestützt auf Art. 28 und 43 ATSG dazu verpflichtet, dem Versicherer wahrheitsgetreue Angaben zu machen (Urteil 9C_258/2014 vom 3. September 2014 E. 4.4), wobei sie sich nicht von Überlegungen versicherungsrechtlicher Natur leiten lassen durfte (vgl. BGE 121 V 45 E. 2b S. 47; Urteil 8C_940/2015 vom 19. April 2016 E. 6.3). Ein allfälliger Anspruch hängt denn auch vom Sachverhalt ab und nicht umgekehrt, wie sie anzunehmen scheint. Inwiefern bei der Feststellung des Erwerbsstatus, insbesondere in Anbetracht der bei 20 % liegenden Erwerbstätigkeit im Gesundheitsfall, das Gleichstellungsgebot ( Art. 8 Abs. 3 BV ), das Recht auf ein faires Verfahren ( Art. 6 EMRK ) oder das Recht auf Achtung des Privat- und Familienlebens ( Art. 8 Abs. 1 EMRK ) tangiert resp. verletzt sein soll, ist nicht ersichtlich und wird auch nicht substanziiert (E. 1.2) dargelegt. Nach dem Gesagten beruht die hier interessierende Feststellung auch nicht auf einer Rechtsverletzung, weshalb sie für das Bundesgericht verbindlich bleibt (E. 1.1).</w:t>
      </w:r>
    </w:p>
    <w:p>
      <w:r>
        <w:rPr>
          <w:b/>
        </w:rPr>
        <w:t>E. 3.3</w:t>
      </w:r>
    </w:p>
    <w:p>
      <w:r>
        <w:t>Was die Invaliditätsbemessung in den einzelnen Bereichen anbelangt, werden einzig Wechselwirkungen zwischen den Einschränkungen im Haushalt und im Erwerb geltend gemacht. Selbst wenn solchen Rechnung zu tragen wäre, würden sie höchstens im Umfang des Maximalansatzes von 15 ungewichteten Prozentpunkten im Erwerbsbereich zu Buche schlagen ( BGE 134 V 9 E. 7.3 S. 12 ff.; Urteile 8C_586/2014 vom 22. Dezember 2014 E. 7.3; 9C_686/2008 vom 4. November 2008 E. 4.3), weshalb die dortige Einschränkung maximal 25 % resp. (gewichtet) 5 % beträgt.</w:t>
      </w:r>
    </w:p>
    <w:p>
      <w:r>
        <w:rPr>
          <w:b/>
        </w:rPr>
        <w:t>E. 3.4</w:t>
      </w:r>
    </w:p>
    <w:p>
      <w:r>
        <w:t>Angesichts des in E. 3.2.2 Gesagten besteht kein Anlass für die beantragte Sistierung des Verfahrens (vgl. Art. 6 Abs. 1 BZP i.V.m. Art. 71 BGG ) bis zum definitiven Entscheid des Europäischen Gerichtshofs für Menschenrechte (EGMR) über die EMRK-Konformität der gemischten Methode (vgl. Urteil der zweiten Kammer des EGMR</w:t>
      </w:r>
    </w:p>
    <w:p>
      <w:r>
        <w:t>di Trizio gegen Schweiz Nr. 7186/09 vom 2. Februar 2016, das an die Grosse Kammer weitergezogen wurde; vgl. Urteil 8C_912/2015 vom 18. April 2016 E. 4.3.1 und 4.4).</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