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478/2013 vom 24. Juli 2013</w:t>
      </w:r>
    </w:p>
    <w:p>
      <w:r>
        <w:t>Bundesgericht, 2013-07-24, DE</w:t>
      </w:r>
    </w:p>
    <w:p>
      <w:r>
        <w:rPr>
          <w:b/>
        </w:rPr>
        <w:t xml:space="preserve">Quelle: </w:t>
      </w:r>
      <w:r>
        <w:t>https://mcp.opencaselaw.ch/entscheid/bger_9C_478_2013</w:t>
      </w:r>
    </w:p>
    <w:p>
      <w:r>
        <w:t>FR: TF 9C 478/2013 du 24 juillet 2013</w:t>
      </w:r>
    </w:p>
    <w:p>
      <w:r>
        <w:t>IT: TF 9C 478/2013 del 24 luglio 2013</w:t>
      </w:r>
    </w:p>
    <w:p>
      <w:pPr>
        <w:pStyle w:val="Heading2"/>
      </w:pPr>
      <w:r>
        <w:t>Regeste</w:t>
      </w:r>
    </w:p>
    <w:p>
      <w:r>
        <w:t>Alters- und Hinterlassenenversicherung (Witwenrente; Rückerstattung) | Alters- und Hinterlassenenversicherung</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2</w:t>
      </w:r>
    </w:p>
    <w:p>
      <w:r>
        <w:t>Unrechtmässig bezogene Leistungen sind zurückzuerstatten (Art. 25 Abs. 1 erster Satz ATSG [SR 830.1]). Gemäss Art. 25 Abs. 2 erster Satz ATSG erlischt der Rückforderungsanspruch mit dem Ablauf eines Jahres, nachdem die Versicherungseinrichtung davon Kenntnis erhalten hat, spätestens aber mit dem Ablauf von fünf Jahren nach der Entrichtung der einzelnen Leistung. Bei den genannten Fristen handelt es sich um Verwirkungsfristen ( BGE 139 V 6 E. 2 S. 7; 138 V 74 E. 4.1 S. 77 mit Hinweisen). Das kantonale Gericht hat die Rechtsprechung richtig wiedergegeben, wonach mit Bezug auf den Beginn der einjährigen relativen Verwirkungsfrist nicht die tatsächliche, sondern die zumutbare Kenntnis des zur Rückforderung Anlass gebenden Sachverhalts massgebend ist. Fristauslösend ist allerdings nicht das erstmalige unrichtige Handeln des Durchführungsorgans und die daran anknüpfende unrechtmässige Leistungsausrichtung. Vielmehr ist auf jenen Tag abzustellen, an dem die Verwaltung später - beispielsweise anlässlich einer Rechnungskontrolle oder aufgrund eines zusätzlichen Indizes - bei Beachtung der gebotenen und ihr zumutbaren Aufmerksamkeit sich hinsichtlich ihres Fehlers hätte Rechenschaft geben und erkennen müssen, dass die Voraussetzungen für eine Rückforderung gegeben sind ( BGE 124 V 380 E. 1 S. 383; 122 V 270 E. 5b/aa S. 275; 110 V 304 E. 2b in fine S. 306 f.; SVR 2011 EL Nr. 7 S. 21, 9C_999/2009 E. 3.2.1; Urteile 8C_216/2013 vom 16. Juli 2013 E. 3.2 und 9C_737/2009 vom 1. April 2010 E. 2.1).</w:t>
      </w:r>
    </w:p>
    <w:p>
      <w:r>
        <w:rPr>
          <w:b/>
        </w:rPr>
        <w:t>E. 3.1</w:t>
      </w:r>
    </w:p>
    <w:p>
      <w:r>
        <w:t>Des Weitern hat die Vorinstanz zutreffend erkannt, dass die Beschwerdeführerin, welche beim Ableben ihres früheren Ehemannes (am 20. November 2001) bereits wieder verheiratet war, zu keinem Zeitpunkt Anspruch auf eine Witwenrente der AHV besass ( Art. 23, 24 und 24a AHVG ) und die unrechtmässig bezogenen Leistungen - unabhängig von einem eigenen Verschulden - grundsätzlich zurückzuerstatten hat (Art. 25 Abs. 1 erster Satz ATSG; vgl. BGE 122 V 134 ). Die vorinstanzliche Feststellung, wonach nur die ab August 2007 geleisteten Rentenbetreffnisse im Gesamtbetrag von Fr. 37'806.- zurückgefordert werden können, wogegen die von Dezember 2001 bis Juli 2007 zu Unrecht bezogenen Witwenrenten zufolge Ablaufs der fünfjährigen absoluten Verwirkungsfrist nach Art. 25 Abs. 2 erster Satz AHVG nicht zurückzuerstatten sind, ist ebenfalls Rechtens. Und schliesslich ist dem kantonalen Gericht auch dahingehend beizupflichten, dass die einjährige relative Verwirkungsfrist gemäss derselben Gesetzesbestimmung und der hievor angeführten Rechtsprechung im April 2012 ausgelöst wurde, als die Ausgleichskasse auf Betreiben des BSV den Zivilstand der Beschwerdeführerin überprüfte und sich nach ihrem ursprünglichen Verwaltungsfehler erst in diesem Zusammenhang darüber Rechenschaft geben musste, dass von Beginn weg zu Unrecht eine Witwenrente ausgerichtet wurde. Die - betraglich nicht bestrittene - Rückerstattungsverfügung vom 19. Juli 2012 erging somit rechtzeitig.</w:t>
      </w:r>
    </w:p>
    <w:p>
      <w:r>
        <w:rPr>
          <w:b/>
        </w:rPr>
        <w:t>E. 3.2</w:t>
      </w:r>
    </w:p>
    <w:p>
      <w:r>
        <w:t>Sämtliche Einwendungen der Beschwerdeführerin vermögen an dieser Betrachtungsweise nichts zu ändern. So handelt es sich bei der in E. 2 hievor zitierten Rechtsprechung keineswegs um ältere, nicht mehr aktuelle Präjudizien (das jüngste bundesgerichtliche Urteil, welches die jahrzehntelange Praxis bestätigt, datiert vom 16. Juli 2013). Demgegenüber beruft sich die Beschwerdeführerin auf ein Urteil (9C_612/2011 vom 28. Juni 2012), aus welchem sich für den vorliegenden Fall schon deshalb nichts ableiten lässt, weil es dort nicht um ein Versehen des Versicherungsträgers ging, sondern um eine aufgrund der konkreten Umstände verfehlte Abklärungspraxis (weitgehendes Untätigbleiben) der Ausgleichskasse. Entgegen der Auffassung der Beschwerdeführerin konnte die Verwaltung auch bei den einzelnen Überweisungen der Witwenrente nicht auf ihren ursprünglichen Fehler stossen. Schliesslich wird in der Beschwerde zwar behauptet, aber nicht rechtsgenüglich begründet, inwiefern der angefochtene Entscheid, welcher sich auf die erwähnte langjährige Rechtsprechung des Bundesgerichts stützt, im Sinne von Art. 9 BV willkürlich sein soll. Diesbezügliche Ausführungen erübrigen sich deshalb.</w:t>
      </w:r>
    </w:p>
    <w:p>
      <w:r>
        <w:rPr>
          <w:b/>
        </w:rPr>
        <w:t>E. 4</w:t>
      </w:r>
    </w:p>
    <w:p>
      <w:r>
        <w:t>Die im Sinne von Art. 109 Abs. 2 lit. a BGG offensichtlich unbegründete Beschwerde ist im vereinfachten Verfahren abzuweisen.</w:t>
      </w:r>
    </w:p>
    <w:p>
      <w:r>
        <w:rPr>
          <w:b/>
        </w:rPr>
        <w:t>E. 5</w:t>
      </w:r>
    </w:p>
    <w:p>
      <w:r>
        <w:t>Das Gesuch um aufschiebende Wirkung der vorliegenden Beschwerde wird mit dem heutigen Urteil gegenstandslos.</w:t>
      </w:r>
    </w:p>
    <w:p>
      <w:r>
        <w:rPr>
          <w:b/>
        </w:rPr>
        <w:t>E. 6</w:t>
      </w:r>
    </w:p>
    <w:p>
      <w:r>
        <w:t>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