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9C_477/2012 vom 21. September 2012</w:t>
      </w:r>
    </w:p>
    <w:p>
      <w:r>
        <w:t>Bundesgericht, 2012-09-21, DE</w:t>
      </w:r>
    </w:p>
    <w:p>
      <w:r>
        <w:rPr>
          <w:b/>
        </w:rPr>
        <w:t xml:space="preserve">Quelle: </w:t>
      </w:r>
      <w:r>
        <w:t>https://mcp.opencaselaw.ch/entscheid/bger_9C_477_2012</w:t>
      </w:r>
    </w:p>
    <w:p>
      <w:r>
        <w:t>FR: TF 9C_477/2012 du 21 septembre 2012</w:t>
      </w:r>
    </w:p>
    <w:p>
      <w:r>
        <w:t>IT: TF 9C_477/2012 del 21 settembre 2012</w:t>
      </w:r>
    </w:p>
    <w:p>
      <w:pPr>
        <w:pStyle w:val="Heading2"/>
      </w:pPr>
      <w:r>
        <w:t>Erwägungen</w:t>
      </w:r>
    </w:p>
    <w:p>
      <w:r>
        <w:rPr>
          <w:b/>
        </w:rPr>
        <w:t>E. 1</w:t>
      </w:r>
    </w:p>
    <w:p>
      <w:r>
        <w:t>Das Bundesgericht prüft von Amtes wegen die formellen Gültigkeitserfordernisse auch des vorinstanzlichen Verfahrens. Der angefochtene Entscheid ist aufzuheben, wenn das kantonale Versicherungsgericht in der Sache entschieden hat, obschon es an einer Eintretensvoraussetzung fehlte ( BGE 136 V 7 E. 2 S. 9; 135 V 124 E. 3.1 S. 127; Urteil 9C_143/2012 vom 22. März 2012 E. 1).</w:t>
      </w:r>
    </w:p>
    <w:p>
      <w:r>
        <w:rPr>
          <w:b/>
        </w:rPr>
        <w:t>E. 2</w:t>
      </w:r>
    </w:p>
    <w:p>
      <w:r>
        <w:t>Der Anfechtungsgegenstand des vorinstanzlichen Verfahrens bildende Einspracheentscheid vom 24. November 2010 (Urteil 9C_185/2011 vom 15. September 2011 E. 1.1) bestätigt die Verfügung vom 30. Juli 2010 über die sozialversicherungsrechtliche Stellung der Vorstandsmitglieder der Shiatsu Gesellschaft Schweiz für die Zeit ab 1. Januar 2010. Es handelt sich somit um eine Feststellungsverfügung im Sinne von Art. 49 Abs. 2 ATSG (und Art. 5 Abs. 1 lit. b sowie Art. 25 Abs. 2 VwVG ).</w:t>
      </w:r>
    </w:p>
    <w:p>
      <w:r>
        <w:rPr>
          <w:b/>
        </w:rPr>
        <w:t>E. 2.1</w:t>
      </w:r>
    </w:p>
    <w:p>
      <w:r>
        <w:t>Gemäss Art. 49 ATSG hat der Versicherungsträger über Leistungen, Forderungen und Anordnungen, die erheblich sind oder mit denen die betroffene Person nicht einverstanden ist, schriftlich Verfügungen zu erlassen (Abs. 1). Dem Begehren um Erlass einer Feststellungsverfügung ist zu entsprechen, wenn die gesuchstellende Person ein schützenswertes Interesse glaubhaft macht (Abs. 2).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132 V 257 E.1 S. 259 mit Hinweisen).</w:t>
      </w:r>
    </w:p>
    <w:p>
      <w:r>
        <w:t>Bei Verfügungen über das AHV-Beitragsstatut bejaht die Gerichtspraxis ein Feststellungsinteresse namentlich bei komplizierten Verhältnissen, wo der mit der Abrechnung über paritätische Beiträge verbundene Arbeitsaufwand oft nur dann zumutbar ist, wenn bereits feststeht, dass eine unselbständige Erwerbstätigkeit ausgeübt wird und die Abrechnungs- und Beitragszahlungspflicht der als Arbeitgeber oder Arbeitgeberin angesprochenen Person erstellt ist. Für die Bejahung eines schutzwürdigen resp. schützenswerten Interesses im dargelegten Sinne sprechen u.a. die grosse Zahl von betroffenen Versicherten und der Umstand, dass die Rechtsfrage nach dem Beitragsstatut wegen besonderer Verhältnisse neuartig ist ( BGE 132 V 257 E. 2.1 und 2.2 mit zahlreichen Hinweisen).</w:t>
      </w:r>
    </w:p>
    <w:p>
      <w:r>
        <w:rPr>
          <w:b/>
        </w:rPr>
        <w:t>E. 2.2</w:t>
      </w:r>
    </w:p>
    <w:p>
      <w:r>
        <w:t>Vorliegend kann aus beitragsrechtlicher Sicht nicht von komplexen Verhältnissen gesprochen werden (ZAK 1986 S. 48, H 80/85). Der Vorstand der Beschwerdeführerin 1 besteht gemäss Art. 23 ihrer Statuten aus maximal sieben Personen (vgl. BGE 112 V 81 ; anders AHI 2001 S. 218, H 290/99, ZAK 1978 S. 458, H 147/76 und EVGE 1960 S. 219). Weiter stellen sich keine neuartigen Fragen (vgl. BGE 129 V 289 und ZAK 1978 S. 458, H 147/76). Es geht hauptsächlich darum, inwieweit die verschiedenen Tätigkeiten mehr oder weniger eng mit der Funktion als Vorstandsmitglied verbunden sind. Schliesslich zeigen die Akten, dass die Tätigkeiten der einzelnen Vorstandsmitglieder unterschiedlich sind, was einer jeweils gesonderten Prüfung ruft (vgl. BGE 102 V 148 und ZAK 1973 S. 514, H 50/72; anders EVGE 1960 S. 219).</w:t>
      </w:r>
    </w:p>
    <w:p>
      <w:r>
        <w:t>Es bestehen somit keine triftigen Gründe, die beitragsrechtliche Stellung der Vorstandsmitglieder der Beschwerdeführerin 1 nicht im Rahmen einer (rechtsgestaltenden) individuellen Verfügung über paritätische Beiträge festzulegen.</w:t>
      </w:r>
    </w:p>
    <w:p>
      <w:r>
        <w:rPr>
          <w:b/>
        </w:rPr>
        <w:t>E. 3</w:t>
      </w:r>
    </w:p>
    <w:p>
      <w:r>
        <w:t>Nach dem Gesagten hätte die Vorinstanz den die Verfügung vom 30. Juli 2010 bestätigenden Einspracheentscheid vom 24. November 2010 mit der Begründung des fehlenden schutzwürdigen Interesses an der Feststellung der beitragsrechtlichen Stellung der Vorstandsmitglieder der Beschwerdeführerin 1 aufheben müssen, ohne materiell in der Sache zu entscheiden ( BGE 129 V 289 ). In diesem formellen Sinne ist die Beschwerde gutzuheissen.</w:t>
      </w:r>
    </w:p>
    <w:p>
      <w:r>
        <w:rPr>
          <w:b/>
        </w:rPr>
        <w:t>E. 4</w:t>
      </w:r>
    </w:p>
    <w:p>
      <w:r>
        <w:t>Auf einen Schriftenwechsel wird angesichts des Verfahrensausgangs, der auf formellen Gründen beruht, verzichtet. Die Einholung einer Vernehmlassung zur Beschwerde, die ausschliesslich materiellen Inhalts ist, käme einem Leerlauf gleich und würde nur weitere Kosten verursachen. Damit ist aus Gründen der Prozessökonomie ein Schriftenwechsel nicht erforderlich (Art. 102 Abs. 1 a.A. BGG).</w:t>
      </w:r>
    </w:p>
    <w:p>
      <w:r>
        <w:rPr>
          <w:b/>
        </w:rPr>
        <w:t>E. 5</w:t>
      </w:r>
    </w:p>
    <w:p>
      <w:r>
        <w:t>Dem Ausgang des Verfahrens entsprechend hat die Beschwerdegegnerin die Gerichtskosten zu tragen ( Art. 66 Abs. 1 BGG ) und den Beschwerdeführerinnen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