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9C_477/2007 vom 21. Mai 2008</w:t>
      </w:r>
    </w:p>
    <w:p>
      <w:r>
        <w:t>Bundesgericht, 2008-05-21, FR</w:t>
      </w:r>
    </w:p>
    <w:p>
      <w:r>
        <w:rPr>
          <w:b/>
        </w:rPr>
        <w:t xml:space="preserve">Quelle: </w:t>
      </w:r>
      <w:r>
        <w:t>https://mcp.opencaselaw.ch/entscheid/bger_9C_477_2007</w:t>
      </w:r>
    </w:p>
    <w:p>
      <w:r>
        <w:t>FR: TF 9C_477/2007 du 21 mai 2008</w:t>
      </w:r>
    </w:p>
    <w:p>
      <w:r>
        <w:t>IT: TF 9C_477/2007 del 21 maggio 2008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Au moment de l'entrée en vigueur de la 4ème révision de l'AI, le 1er janvier 2004, les montants des allocations pour impotent de l'assurance-invalidité versées aux assurés qui séjournent à domicile (et non dans un home) ont été doublés ( art. 42ter al. 1 et 2 LAI ); ils sont désormais fixés en fonction du montant maximum de la rente de vieillesse prévue à l' art. 34 al. 3 et 5 LAVS (art. 42ter al. 1, 3ème phrase, LAI). En revanche, les allocations pour impotent de l'assurance-vieillesse et survivants n'ont pas été modifiées; elles sont toujours fixées en fonction du montant minimum de la rente de vieillesse ( art. 43bis al. 3 LAVS ).</w:t>
      </w:r>
    </w:p>
    <w:p>
      <w:r>
        <w:rPr>
          <w:b/>
        </w:rPr>
        <w:t>E. 1.2</w:t>
      </w:r>
    </w:p>
    <w:p>
      <w:r>
        <w:t>Se fondant sur les art. 42ter LAI et 43bis al. 4 LAVS et le principe de l'égalité de traitement ( art. 8 Cst. ), le recourant estime être en droit de prétendre à une allocation pour impotent de l'assurance-vieillesse et survivants d'un montant identique à celui reconnu à un bénéficiaire d'une allocation pour impotent de l'assurance-invalidité.</w:t>
      </w:r>
    </w:p>
    <w:p>
      <w:r>
        <w:rPr>
          <w:b/>
        </w:rPr>
        <w:t>E. 2.1</w:t>
      </w:r>
    </w:p>
    <w:p>
      <w:r>
        <w:t>Selon l' art. 43bis al. 4 LAVS (dans sa teneur en vigueur depuis le 1er janvier 2004), la personne qui était au bénéfice d'une allocation pour impotent de l'assurance-invalidité à la fin du mois au cours duquel elle a atteint l'âge de la retraite ou a fait usage du droit de percevoir une rente anticipée touchera une allocation de l'assurance-vieillesse au moins égale.</w:t>
      </w:r>
    </w:p>
    <w:p>
      <w:r>
        <w:rPr>
          <w:b/>
        </w:rPr>
        <w:t>E. 2.2</w:t>
      </w:r>
    </w:p>
    <w:p>
      <w:r>
        <w:t>Le Tribunal de céans a déjà eu l'occasion de se prononcer sur la portée de l' art 43bis al. 4 LAVS . Dans l'arrêt H 218/04 du 5 décembre 2005 (publié in SVR 2006 AHV n° 14 p. 54), il a constaté que cette disposition ne donnait aucun droit à un rentier AVS, dont l'allocation pour impotent de l'assurance-invalidité initiale avait été convertie en une allocation pour impotent de l'assurance-vieillesse et survivants avant le 1er janvier 2004, au relèvement de l'allocation au niveau applicable depuis le 1er janvier 2004 pour les allocations pour impotent de l'assurance-invalidité. Il a fondé son raisonnement sur une analyse approfondie de la genèse et du but de l' art 43bis al. 4 LAVS et a conclu que cette disposition avait pour seul objectif de garantir le montant de l'allocation pour impotent de l'assurance-invalidité au moment où la personne bénéficiaire atteignait l'âge de la retraite. Les bénéficiaires d'une allocation pour impotent en cours de l'assurance-vieillesse et survivants au 1er janvier 2004 ne pouvaient en revanche se prévaloir de la garantie des droits acquis prévu à l' art 43bis al. 4 LAVS en lien avec la modification du montant des allocations pour impotence de l'assurance-invalidité, puisque le cas de substitution d'allocation les concernant était survenu avant l'entrée en vigueur de la 4ème révision de l'AI (cf. également le Bulletin à l'intention des caisses de compensation AVS et des organes d'exécution des PC n° 136 du 9 octobre 2003, p. 6).</w:t>
      </w:r>
    </w:p>
    <w:p>
      <w:r>
        <w:rPr>
          <w:b/>
        </w:rPr>
        <w:t>E. 2.3</w:t>
      </w:r>
    </w:p>
    <w:p>
      <w:r>
        <w:t>Le Tribunal fédéral ne voit aucun motif de revenir sur la jurisprudence développée à l'arrêt H 218/04. En tant que le recourant soutient que le régime légal de l'AVS consacrerait une inégalité de traitement, partant une violation de l' art. 8 Cst. , ce grief est infondé. Il se heurte en effet à l' art. 190 Cst. , qui interdit au Tribunal fédéral d'examiner la constitutionnalité des lois fédérales ( ATF 131 II 562 consid. 3.2 p. 565).</w:t>
      </w:r>
    </w:p>
    <w:p>
      <w:r>
        <w:rPr>
          <w:b/>
        </w:rPr>
        <w:t>E. 3</w:t>
      </w:r>
    </w:p>
    <w:p>
      <w:r>
        <w:t>Mal fondé, le recours doit être rejeté. Le recourant, qui succombe, supportera les frais judiciaires afférents à la présente procédure (art. 66 al. 1, 1ère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