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475/2014 vom 31. Juli 2014</w:t>
      </w:r>
    </w:p>
    <w:p>
      <w:r>
        <w:t>Bundesgericht, 2014-07-31, DE</w:t>
      </w:r>
    </w:p>
    <w:p>
      <w:r>
        <w:rPr>
          <w:b/>
        </w:rPr>
        <w:t xml:space="preserve">Quelle: </w:t>
      </w:r>
      <w:r>
        <w:t>https://mcp.opencaselaw.ch/entscheid/bger_9C_475_2014</w:t>
      </w:r>
    </w:p>
    <w:p>
      <w:r>
        <w:t>FR: TF 9C 475/2014 du 31 juillet 2014</w:t>
      </w:r>
    </w:p>
    <w:p>
      <w:r>
        <w:t>IT: TF 9C 475/2014 del 31 luglio 2014</w:t>
      </w:r>
    </w:p>
    <w:p>
      <w:pPr>
        <w:pStyle w:val="Heading2"/>
      </w:pPr>
      <w:r>
        <w:t>Regeste</w:t>
      </w:r>
    </w:p>
    <w:p>
      <w:r>
        <w:t>Invalidenversicherung | Invalidenversicherung</w:t>
      </w:r>
    </w:p>
    <w:p>
      <w:pPr>
        <w:pStyle w:val="Heading2"/>
      </w:pPr>
      <w:r>
        <w:t>Erwägungen</w:t>
      </w:r>
    </w:p>
    <w:p>
      <w:r>
        <w:rPr>
          <w:b/>
        </w:rPr>
        <w:t>E. 1</w:t>
      </w:r>
    </w:p>
    <w:p>
      <w:r>
        <w:t>Das kantonale Gericht erwog, die mit BGE 137 V 210 geänderte Rechtsprechung zur Einholung von MEDAS-Gutachten sei im Grundsatz auch auf im Zeitpunkt der Rechtsprechungsänderung laufende Verfahren anwendbar. Bei Erteilung des Begutachtungsauftrages am 19. Oktober 2011 sei BGE 137 V 210 (Urteil 9C_243/2010 vom 28. Juni 2011) bekannt gewesen. Die neuen Anforderungen seien zwar teilweise eingehalten worden. So sei der Beschwerdeführerin bei der Mitteilung der zu beauftragenden Gutachtenstelle der Fragenkatalog zur Stellungnahme zugestellt worden. Auch habe sie Gelegenheit erhalten, triftige Einwendungen gegen die Gutachtenstelle zu erheben. Jedoch sei das Zufallsprinzip ( BGE 137 V 210 E. 3.1 S. 242)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(hier am 19. Oktober 2011) die Anforderungen, wie sie sich aus diesem Grundsatzentscheid ergeben,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rPr>
          <w:b/>
        </w:rPr>
        <w:t>E. 2</w:t>
      </w:r>
    </w:p>
    <w:p>
      <w:r>
        <w:t>Die Beschwerde richtet sich gegen einen Zwischenentscheid, der vor Bundesgericht prinzipiell nur unter den Voraussetzungen von Art. 93 Abs. 1 lit. a oder b BGG angefochten werden kann (vgl. BGE 138 V 271 ).</w:t>
      </w:r>
    </w:p>
    <w:p>
      <w:r>
        <w:rPr>
          <w:b/>
        </w:rPr>
        <w:t>E. 2.1</w:t>
      </w:r>
    </w:p>
    <w:p>
      <w:r>
        <w:t>Nach Art. 93 Abs. 1 lit. a BGG ist die Beschwerde gegen einen Zwischenentscheid zulässig, wenn dieser einen nicht wieder gutzumachenden Nachteil bewirken kann. Die beschwerdeführende Verwaltung macht geltend, ein solcher Nachteil sei im Umstand zu erblicken, dass die Vorinstanz rechtskonform erlangte Gutachten generell mit einem Beweisverwertungsverbot belege. Ein solcher Rückweisungsentscheid könne zusammen mit dem Endentscheid nicht mehr wirksam angefochten werden (vgl. Art. 93 Abs. 3 BGG ). Dieser Argumentation kann nicht gefolgt werden. Ein nicht wieder gutzumachender Nachteil aus Sicht der Behörde besteht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2.2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2.2.1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 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Rentenaufhebung noch nicht befunden (vgl. Urteil 2C_1048/2012 vom 14. April 2014 E. 1.3.2).</w:t>
      </w:r>
    </w:p>
    <w:p>
      <w:r>
        <w:rPr>
          <w:b/>
        </w:rPr>
        <w:t>E. 2.2.2</w:t>
      </w:r>
    </w:p>
    <w:p>
      <w:r>
        <w:t>Damit kann offenbleiben, wie es sich hier mit der weiteren Voraussetzung der Ersparnis eines bedeutenden Aufwands an Zeit oder Kosten für ein weitläufiges Beweisverfahren verhielte (vgl. Urteil 9C_167/2012 vom 23. Mai 2012 E. 3.3.2; zur Besonderheit, dass die strittige Rückweisung nicht auf Beweiswürdigung im Einzelfall gründet, sondern eine vor Inbetriebnahme der Zuweisungsplattform SuisseMED@P geübte allgemeine Vergabepraxis der IV-Stelle sanktioniert, vgl. sogleich E. 2.3).</w:t>
      </w:r>
    </w:p>
    <w:p>
      <w:r>
        <w:rPr>
          <w:b/>
        </w:rPr>
        <w:t>E. 2.3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 Zu prüfen bleibt, ob die vorliegende Konstellation damit vergleichbar ist. Auf der Hand liegt, dass es im Hinblick auf die Verwertbarkeit eines Gutachtens einen wesentlichen Unterschied ausmacht,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Was diesen Punkt angeht, so wirkt sich eine vorinstanzliche Lesart des Urteils 9C_769/2013 indessen praktisch nur noch dort aus, wo der Auftrag zur Begutachtung vor dem 1. März 2012 ergangen ist (vgl. den am 1. März 2012 in Kraft getretenen Art. 72bis IVV ; Kreisschreiben des BSV über das Verfahren in der Invalidenversicherung [KSVI], Anhang V). Es handelt sich somit nicht um eine Problematik, die sich in dieser konkreten Form inskünftig weiterhin stellen wird.</w:t>
      </w:r>
    </w:p>
    <w:p>
      <w:r>
        <w:rPr>
          <w:b/>
        </w:rPr>
        <w:t>E. 2.4</w:t>
      </w:r>
    </w:p>
    <w:p>
      <w:r>
        <w:t>Nach dem Gesagten kann auf die Beschwerde gegen den angefochtenen Zwischenentscheid unter keinem Titel eingetreten werden.</w:t>
      </w:r>
    </w:p>
    <w:p>
      <w:r>
        <w:rPr>
          <w:b/>
        </w:rPr>
        <w:t>E. 3.1</w:t>
      </w:r>
    </w:p>
    <w:p>
      <w:r>
        <w:t>Die Beschwerde ist im Verfahren nach Art. 108 Abs. 1 lit. a und Abs. 2 BGG zu erledigen.</w:t>
      </w:r>
    </w:p>
    <w:p>
      <w:r>
        <w:rPr>
          <w:b/>
        </w:rPr>
        <w:t>E. 3.2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