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9C_472/2011 vom 21. Oktober 2011</w:t>
      </w:r>
    </w:p>
    <w:p>
      <w:r>
        <w:t>Bundesgericht, 2011-10-21, FR</w:t>
      </w:r>
    </w:p>
    <w:p>
      <w:r>
        <w:rPr>
          <w:b/>
        </w:rPr>
        <w:t xml:space="preserve">Quelle: </w:t>
      </w:r>
      <w:r>
        <w:t>https://mcp.opencaselaw.ch/entscheid/bger_9C_472_2011</w:t>
      </w:r>
    </w:p>
    <w:p>
      <w:r>
        <w:t>FR: TF 9C_472/2011 du 21 octobre 2011</w:t>
      </w:r>
    </w:p>
    <w:p>
      <w:r>
        <w:t>IT: TF 9C_472/2011 del 21 ottobre 2011</w:t>
      </w:r>
    </w:p>
    <w:p>
      <w:pPr>
        <w:pStyle w:val="Heading2"/>
      </w:pPr>
      <w:r>
        <w:t>Erwägungen</w:t>
      </w:r>
    </w:p>
    <w:p>
      <w:r>
        <w:rPr>
          <w:b/>
        </w:rPr>
        <w:t>E. 1</w:t>
      </w:r>
    </w:p>
    <w:p>
      <w:r>
        <w:t>En tant que son dispositif renvoie le dossier à l'administration pour nouvelle décision au sens des considérants, le jugement entrepris doit être qualifié de décision incidente qui ne peut être attaquée qu'aux conditions de l' art. 93 LTF ( ATF 133 V 477 consid. 4.2 p. 482). Dans le cas particulier, la juridiction cantonale a octroyé à l'intimé le droit à une rente entière de l'assurance-invalidité dès le 26 janvier 2007. Sur ce point, le jugement attaqué contient une instruction impérative destinée à l'autorité inférieure qui ne lui laisse plus aucune latitude de jugement pour la suite de la procédure. En cela, l'OAI subit un préjudice irréparable au sens de l' art. 93 al. 1 let. a LTF , si bien qu'il y a lieu d'entrer en matière sur son recours (cf. ATF 133 V 477 consid. 5.2.4 p. 484 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w:t>
      </w:r>
    </w:p>
    <w:p>
      <w:r>
        <w:rPr>
          <w:b/>
        </w:rPr>
        <w:t>E. 3.1</w:t>
      </w:r>
    </w:p>
    <w:p>
      <w:r>
        <w:t>Le litige porte sur le droit de l'intimé à une rente d'invalidité, singulièrement sur le choix de la méthode d'évaluation de l'invalidité.</w:t>
      </w:r>
    </w:p>
    <w:p>
      <w:r>
        <w:rPr>
          <w:b/>
        </w:rPr>
        <w:t>E. 3.2</w:t>
      </w:r>
    </w:p>
    <w:p>
      <w:r>
        <w:t>En substance, les premiers juges ont considéré que, sans la survenance de son accident, l'intimé aurait travaillé à temps complet et ont dès lors appliqué la méthode ordinaire de comparaison des revenus.</w:t>
      </w:r>
    </w:p>
    <w:p>
      <w:r>
        <w:rPr>
          <w:b/>
        </w:rPr>
        <w:t>E. 3.3</w:t>
      </w:r>
    </w:p>
    <w:p>
      <w:r>
        <w:t>Le recourant invoque l'arbitraire dans l'appréciation des preuves et l'établissement des faits, ainsi qu'une violation du droit d'être entendu (absence de prise en compte dans l'appréciation des preuves, sans motivation adéquate, du rapport d'enquête économique sur le ménage). Sans atteinte à sa santé, l'intimé aurait travaillé de manière intermittente, afin de pouvoir consacrer beaucoup de temps à son activité d'animateur (disque-jockey), comme il l'avait fait auparavant pendant plusieurs années. Aussi y aurait-il eu lieu d'utiliser la méthode mixte d'évaluation de l'invalidité.</w:t>
      </w:r>
    </w:p>
    <w:p>
      <w:r>
        <w:rPr>
          <w:b/>
        </w:rPr>
        <w:t>E. 4</w:t>
      </w:r>
    </w:p>
    <w:p>
      <w:r>
        <w:t>En l'occurrence, la méthode de comparaison des revenus s'appliquerait également si l'on considérait que l'intimé aurait, sans invalidité, continué à travailler de manière intermittente.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ainsi ( ATF 131 V 51 consid. 5.2 p. 54). Cette jurisprudence peut s'appliquer au cas d'espèce car on ne voit pas de raison d'opérer dans ce contexte une distinction en fonction de la manière dont se répartit le temps libre que se procure un assuré en renonçant à exploiter pleinement sa capacité de travail. Or l'intimé a déclaré, lors de l'enquête économique sur le ménage, puis en procédure cantonale, que c'était pour s'adonner à ses loisirs qu'il avait renoncé à exercer de manière régulière une activité professionnelle à temps complet; il n'a en revanche jamais fait allusion à ses travaux habituels et aucun élément figurant au dossier ne laisse à penser qu'il aurait consacré plus de temps à ceux-ci s'il n'avait pas été atteint dans sa santé.</w:t>
      </w:r>
    </w:p>
    <w:p>
      <w:r>
        <w:rPr>
          <w:b/>
        </w:rPr>
        <w:t>E. 5</w:t>
      </w:r>
    </w:p>
    <w:p>
      <w:r>
        <w:t>Il suit de ce qui précède que le recours est mal fondé. Le recourant, qui succombe, doit supporter les frais judiciaires ( art. 66 al. 1 LTF ). L'intimé, représenté par un avocat, peut prétendre une indemnité de dépens ( art. 68 al. 2 LTF ). Par conséquent, sa requête d'assistance judiciaire pour la présente procédure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