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9C_471/2010 vom 18. Mai 2011</w:t>
      </w:r>
    </w:p>
    <w:p>
      <w:r>
        <w:t>Bundesgericht, 2011-05-18, FR</w:t>
      </w:r>
    </w:p>
    <w:p>
      <w:r>
        <w:rPr>
          <w:b/>
        </w:rPr>
        <w:t xml:space="preserve">Quelle: </w:t>
      </w:r>
      <w:r>
        <w:t>https://mcp.opencaselaw.ch/entscheid/bger_9C_471_2010</w:t>
      </w:r>
    </w:p>
    <w:p>
      <w:r>
        <w:t>FR: TF 9C_471/2010 du 18 mai 2011</w:t>
      </w:r>
    </w:p>
    <w:p>
      <w:r>
        <w:t>IT: TF 9C_471/2010 del 18 maggio 2011</w:t>
      </w:r>
    </w:p>
    <w:p>
      <w:pPr>
        <w:pStyle w:val="Heading2"/>
      </w:pPr>
      <w:r>
        <w:t>Erwägungen</w:t>
      </w:r>
    </w:p>
    <w:p>
      <w:r>
        <w:rPr>
          <w:b/>
        </w:rPr>
        <w:t>E. 1</w:t>
      </w:r>
    </w:p>
    <w:p>
      <w:r>
        <w:t>Le litige porte sur le maintien de la demi-rente d'invalidité dont l'intimé bénéficie depuis 1994, dans le cadre d'une révision du droit à cette prestation.</w:t>
      </w:r>
    </w:p>
    <w:p>
      <w:r>
        <w:t>La juridiction cantonale a exposé correctement les règles applicables en matière de révision du droit à la rente, d'appréciation des preuves, ainsi que celles qui se rapportent à la notion d'invalidité, si bien qu'il suffit de renvoyer au jugement attaqué.</w:t>
      </w:r>
    </w:p>
    <w:p>
      <w:r>
        <w:rPr>
          <w:b/>
        </w:rPr>
        <w:t>E. 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3</w:t>
      </w:r>
    </w:p>
    <w:p>
      <w:r>
        <w:t>Le tribunal cantonal a constaté que l'état de santé de l'intimé était resté stationnaire pour l'essentiel, voire qu'il s'était aggravé dans la mesure où des dorso-lombalgies sont survenues depuis 2008.</w:t>
      </w:r>
    </w:p>
    <w:p>
      <w:r>
        <w:t>En ce qui concerne la capacité de travail, les premiers juges ont relevé que l'intimé avait travaillé en tant qu'agent de sécurité, durant quelques mois en 2008, à des taux dépassant 50 % d'un horaire de travail à temps complet. Sur la base du rapport du docteur B.________ du 8 janvier 2010, les juges cantonaux ont admis que cette activité professionnelle n'était pas totalement adaptée. En effet, elle s'exerçait essentiellement en position debout, alors que seules quatre à cinq heures quotidiennes étaient exigibles de la part de l'intimé dans cette stature, en raison de ses affections (limitation de la rotation interne des deux hanches et de la mobilité des deux genoux, notamment; rapport du docteur B.________ du 8 janvier 2010, ch. 1.7), à quoi le tribunal cantonal a ajouté le facteur de l'obésité morbide (140 kg pour une taille de 170 cm, rapport précité, ch. 1.4). La juridiction cantonale a dès lors fixé la capacité de travail exigible à 62,5 % dans un emploi d'agent de sécurité.</w:t>
      </w:r>
    </w:p>
    <w:p>
      <w:r>
        <w:t>A l'issue de la comparaison de revenus, le tribunal a arrêté le taux d'invalidité à 53,7 % (il a précisé que ce taux serait 56,62 % si l'on se fondait sur les allégations de l'assuré), ce qui écartait la révision du droit à la demi-rente au sens de l' art. 17 LPGA . Quant à l'éventualité d'une reconsidération, en vertu de l' art. 53 LPGA , elle n'entrait pas en ligne de compte dès lors que l'octroi de la demi-rente avait jadis fait l'objet d'un jugement de l'ancienne Commission cantonale genevoise de recours en matière d'AVS/AI (du 11 décembre 1998).</w:t>
      </w:r>
    </w:p>
    <w:p>
      <w:r>
        <w:rPr>
          <w:b/>
        </w:rPr>
        <w:t>E. 4</w:t>
      </w:r>
    </w:p>
    <w:p>
      <w:r>
        <w:t>L'office recourant reproche à la juridiction cantonale d'avoir procédé à une constatation manifestement inexacte des faits pertinents consécutive à une mauvaise appréciation des preuves. Il fait grief aux premiers juges de s'être uniquement fondés sur l'avis du docteur B.________, sans avoir préalablement tranché la question de la force probante des deux rapports de ce médecin (24 juillet 2009 et 8 janvier 2010). Selon le recourant, ces deux documents seraient dénués de valeur probante, non seulement en raison des contradictions qu'ils contiendraient, mais surtout parce que leur auteur avait clairement indiqué qu'il ne pouvait se déterminer de manière définitive, à défaut de documentation médicale. L'office recourant reproche aussi au tribunal d'avoir donné foi aux conclusions du docteur B.________ qui aurait simplement relayé les déclarations de l'intimé, ainsi que d'avoir procédé à des constatations d'ordre médical sans s'appuyer sur l'avis d'un spécialiste quant à l'incidence de l'obésité sur la capacité de travail. Il estime également que les juges cantonaux ont tenu compte d'un salaire d'invalide erroné dans la comparaison des revenus. Le recourant se plaint enfin d'une violation de son droit d'être entendu, car la juridiction cantonale n'a pas exposé les motifs qui l'ont conduite à écarter l'avis de la doctoresse U.________.</w:t>
      </w:r>
    </w:p>
    <w:p>
      <w:r>
        <w:t>De son côté, l'intimé réfute les griefs du recourant relatifs à l'appréciation de sa capacité de travail. Quant à la question de la violation du droit de l'office AI d'être entendu, il est d'avis que sa cause a été jugée sur la base d'un état de fait complet, tous les éléments pertinents ayant été établis.</w:t>
      </w:r>
    </w:p>
    <w:p>
      <w:r>
        <w:rPr>
          <w:b/>
        </w:rPr>
        <w:t>E. 5</w:t>
      </w:r>
    </w:p>
    <w:p>
      <w:r>
        <w:t>Sur le plan formel, l'office recourant se plaint d'une violation de son droit d'être entendu pour défaut de motivation du jugement entrepris, en tant que celui-ci n'indiquerait pas les raisons pour lesquelles la juridiction cantonale a écarté le rapport d'employeur du 20 avril 2009 et les avis du SMR.</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publié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t>Pour autant qu'il puisse être considéré comme suffisamment motivé au sens de l' art. 106 al. 2 LTF , le grief de violation du droit d'être entendu pour défaut de motivation de la décision attaquée n'est pas fondé en l'espèce. La motivation du jugement entrepris permet de comprendre parfaitement quels éléments ont été retenus par la juridiction cantonale et pourquoi ils l'ont été. En réalité, en tant que l'office recourant reproche à la juridiction cantonale de n'avoir pas motivé de manière suffisamment intelligible son refus de tenir compte de différents éléments qu'il jugeait pertinents pour la solution du litige, le grief se confond avec celui d'arbitraire dans la constatation des faits et l'appréciation des preuves. Il convient de l'examiner avec le fond du litige.</w:t>
      </w:r>
    </w:p>
    <w:p>
      <w:r>
        <w:rPr>
          <w:b/>
        </w:rPr>
        <w:t>E. 6</w:t>
      </w:r>
    </w:p>
    <w:p>
      <w:r>
        <w:t>Dans son rapport du 8 janvier 2010, le docteur B.________ avait relevé que le dossier médical était lacunaire, mettant en particulier en évidence l'absence d'un bilan radiologique. Nonobstant l'incertitude évoquée dans ce rapport médical, qui a du reste été élaboré à la demande de l'office recourant, il ne justifie pas de renvoyer la cause pour instruction complémentaire ou de s'écarter de l'appréciation qu'a faite la juridiction cantonale des moyens de preuve dont elle disposait, car les éléments versés au dossier sont suffisants pour se forger une opinion claire et précise de la situation quant à l'existence de circonstances permettant de réviser la rente ( art. 17 LPGA ).</w:t>
      </w:r>
    </w:p>
    <w:p>
      <w:r>
        <w:t>D'une part, les trois médecins auprès desquels l'office recourant a requis des renseignements (docteurs B.________, O.________ et H.________) ont tous attesté que l'intimé dispose d'une capacité de travail de 50 % dans son activité d'agent de sécurité. A propos de la capacité résiduelle de travail de 50 % dans une activité d'agent de surveillance, le docteur B.________ a justifié son appréciation par le fait que les douleurs limitent les capacités à rester longtemps debout (rapport du 8 janvier 2010, ch. 1.7). Sur ce point, l'office recourant ne démontre pourtant pas en quoi la juridiction cantonale aurait versé dans l'arbitraire en tenant compte des restrictions d'ordre médical attestées par ce spécialiste (consid. 9 du jugement), ni en quoi la prise en considération d'une capacité de travail de 62,5 % (correspondant à une exigibilité quotidienne de cinq heures de travail) serait en définitive insoutenable.</w:t>
      </w:r>
    </w:p>
    <w:p>
      <w:r>
        <w:t>D'autre part, on ne saurait admettre qu'une activité est exigible d'un point de vue médical pour le seul motif qu'un assuré l'exerce, fût-ce temporairement. En l'espèce, il paraît vraisemblable, à la lecture du rapport de la doctoresse U.________ du 19 mai 2009, qu'elle s'est exprimée sur le critère de l'exigibilité de l'activité d'agent de sécurité essentiellement en fonction de l'horaire de travail accompli.</w:t>
      </w:r>
    </w:p>
    <w:p>
      <w:r>
        <w:t>On ajoutera que l'office recourant avait tout loisir (cf. art. 43 al. 1 LPGA ), à réception du rapport du docteur B.________ du 8 janvier 2010, de mettre un complément d'instruction en oeuvre s'il estimait que la situation médicale n'était pas claire pour mener à chef la procédure de révision qu'il avait initiée. En statuant en l'état du dossier, sur la base d'une instruction médicale dont il reconnaît implicitement le caractère sommaire, le recourant s'est exposé à ce que la juridiction de recours retienne que les circonstances n'avaient pas évolué, ce qui lie le Tribunal fédéral ( art. 105 al. 1 LTF ).</w:t>
      </w:r>
    </w:p>
    <w:p>
      <w:r>
        <w:rPr>
          <w:b/>
        </w:rPr>
        <w:t>E. 7</w:t>
      </w:r>
    </w:p>
    <w:p>
      <w:r>
        <w:t>Le taux d'invalidité de 53,7 % retenu par le tribunal cantonal procède de la comparaison d'un revenu sans invalidité de 62'642 fr. avec un revenu d'invalide 28'994 fr.</w:t>
      </w:r>
    </w:p>
    <w:p>
      <w:r>
        <w:t>A ce propos, le recourant soutient que le jugement cantonal tient compte à tort d'un salaire horaire de 22 fr. 45, car celui-ci s'élève en réalité à 24 fr. 32 (ce dernier montant comprend l'indemnité de vacances de 8,33 %). L'issue du litige ne serait pourtant pas différente, car le taux d'invalidité atteindrait 49,8 % (arrondi à 50 %).</w:t>
      </w:r>
    </w:p>
    <w:p>
      <w:r>
        <w:rPr>
          <w:b/>
        </w:rPr>
        <w:t>E. 8</w:t>
      </w:r>
    </w:p>
    <w:p>
      <w:r>
        <w:t>Le recourant, qui succombe, supportera les frais de la procédure ( art. 66 al. 1 LTF ). Il est redevable d'une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