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9C_471/2008 vom 10. November 2008</w:t>
      </w:r>
    </w:p>
    <w:p>
      <w:r>
        <w:t>Bundesgericht, 2008-11-10, DE</w:t>
      </w:r>
    </w:p>
    <w:p>
      <w:r>
        <w:rPr>
          <w:b/>
        </w:rPr>
        <w:t xml:space="preserve">Quelle: </w:t>
      </w:r>
      <w:r>
        <w:t>https://mcp.opencaselaw.ch/entscheid/bger_9C_471_2008</w:t>
      </w:r>
    </w:p>
    <w:p>
      <w:r>
        <w:t>FR: TF 9C_471/2008 du 10 novembre 2008</w:t>
      </w:r>
    </w:p>
    <w:p>
      <w:r>
        <w:t>IT: TF 9C_471/2008 del 10 novembre 2008</w:t>
      </w:r>
    </w:p>
    <w:p>
      <w:pPr>
        <w:pStyle w:val="Heading2"/>
      </w:pPr>
      <w:r>
        <w:t>Erwägungen</w:t>
      </w:r>
    </w:p>
    <w:p>
      <w:r>
        <w:rPr>
          <w:b/>
        </w:rPr>
        <w:t>E. 1.1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1.2</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Streitig und zu prüfen ist, ob verschiedene Schuldpositionen auf privater oder geschäftlicher Basis beruhen, können doch Schuldzinsen AHV-beitragsrechtlich nur auf Geschäftsschulden als Gewinnungskosten vom rohen Einkommen aus selbstständiger Erwerbstätigkeit abgezogen werden ( Art. 9 Abs. 2 lit. a AHVG ).</w:t>
      </w:r>
    </w:p>
    <w:p>
      <w:r>
        <w:rPr>
          <w:b/>
        </w:rPr>
        <w:t>E. 3.1</w:t>
      </w:r>
    </w:p>
    <w:p>
      <w:r>
        <w:t>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 Art. 23 Abs. 4 AHVV ).</w:t>
      </w:r>
    </w:p>
    <w:p>
      <w:r>
        <w:rPr>
          <w:b/>
        </w:rPr>
        <w:t>E. 3.2</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Somit haben die Ausgleichskassen ohne Bindung an die Steuermeldung auf Grund des AHV-Rechts zu beurteilen, wer für ein von der Steuerbehörde gemeldetes Einkommen beitragspflichtig ist ( BGE 121 V 80 E. 2c S. 83, 114 V 72 E. 2 S. 75, je mit Hinweisen).</w:t>
      </w:r>
    </w:p>
    <w:p>
      <w:r>
        <w:rPr>
          <w:b/>
        </w:rPr>
        <w:t>E. 4</w:t>
      </w:r>
    </w:p>
    <w:p>
      <w:r>
        <w:t>Vorinstanz und Beschwerdegegnerin haben die in E. 3 dargestellte Rechtslage zwar korrekt wiedergegeben, sie aber auf den konkreten Fall nicht angewendet. Sie haben vielmehr ohne weiteres auf die Steuermeldung abgestellt, obwohl im Steuerverfahren eine Überprüfung der Zuordnung der verschiedenen Schulden nicht vorgenommen worden war und auch nicht vorgenommen werden musste, weil im Steuerrecht die Schuldzinsen sowohl auf Geschäftsschulden als auch auf Privatschulden (mit der hier nicht zum Tragen kommenden Begrenzung) abgezogen werden können ( Art. 27 Abs. 2 lit. d und Art. 33 Abs. 1 lit. a DBG ; Art. 9 Abs. 2 lit. a und Art. 10 Abs. 1 lit. e StHG ). Vorliegend wurden denn auch steuerrechtlich die gesamten Schuldzinsen zum Abzug zugelassen, so dass das steuerbare Einkommen deutlich tiefer ist als das ahv-rechtlich veranlagte. Demgemäss bestand für den Beschwerdeführer weder ein Rechtsschutzinteresse noch Veranlassung, die Steuerveranlagung anzufechten, um die Qualifikation der Schulden zu bestreiten. Deshalb kann im ahv-rechtlichen Verfahren insoweit keine Bindungswirkung an die Steuermeldung bestehen ( BGE 110 V 369 E. 3b S. 373; Urteil H 64/06 vom 11. April 2007 E. 3.4, in: SVR 2007 AHV Nr. 11 S. 29). Auch der Selbstdeklaration im Steuerveranlagungsverfahren kann nicht ausschlaggebende Bedeutung beigemessen werden, da der Beschwerdeführer im Lichte der dargelegten Rechtslage nicht davon ausgehen musste, dass die (steuerrechtlich im Ergebnis irrelevante) Zuordnung für die AHV rechtsverbindlich ist. Nach dem Gesagten hätten die Ausgleichskasse im AHV-Beitragsverfahren oder spätestens die Vorinstanz im Beschwerdeverfahren eine selbstständige Qualifikation vornehmen müssen.</w:t>
      </w:r>
    </w:p>
    <w:p>
      <w:r>
        <w:rPr>
          <w:b/>
        </w:rPr>
        <w:t>E. 5</w:t>
      </w:r>
    </w:p>
    <w:p>
      <w:r>
        <w:t>Steuerrechtlich erfolgt die Abgrenzung zwischen privaten und geschäftlichen Schuldzinsen auf Grund der von der steuerpflichtigen Person nachgewiesenen Verwendung der fremden Mittel bzw. nach der technisch-wirtschaftlichen Funktion des Darlehens, mangels eines solchen Nachweises nach dem Verhältnis der Aktiven (KLÖTI/SIEGRIST/ WEBER, Kommentar zum Aargauer Steuergesetz, 2004, N. 59 zu § 36; RICHNER/FREI/KAUFMANN, Handkommentar zum DBG, Zürich 2003, N. 32 zu Art. 27, N. 8 zu Art. 33; ZWEIFEL/ATHANAS [Hrsg.], Kommentar zum DBG, 2. A. 2008, N. 62 zu Art. 27, N. 7a zu Art. 33; NOËL, in YERSIN/NOËL [éd.], Commentaire romand LIFD, N. 45 zu Art. 27; Kreisschreiben Nr. 1 der Eidg. Steuerverwaltung vom 19. Juli 2000, ASA 69 176, Ziff. 3). Auch Zinsen für Hypothekarkredite, die auf privaten Liegenschaften aufgenommen werden, kann teilweise geschäftlicher Charakter zukommen (ZWEIFEL/ATHANAS, N. 64 zu Art. 27). Im Lichte der grundsätzlich anzustrebenden Parallelität von Steuer- und AHV-Beitragsrecht ( BGE 134 V 250 E. 3.3 S. 253 f., 134 V 297 E. 2.3 S. 302) besteht kein Grund, im AHV-Recht von der steuerrechtlichen Betrachtung abzuweichen.</w:t>
      </w:r>
    </w:p>
    <w:p>
      <w:r>
        <w:rPr>
          <w:b/>
        </w:rPr>
        <w:t>E. 6</w:t>
      </w:r>
    </w:p>
    <w:p>
      <w:r>
        <w:t>Die Darlehen, deren Zinsen streitig sind, wurden gemäss der Darstellung des Beschwerdeführers teilweise für den Ankauf von Landwirtschaftsland (Geschäftsvermögen), teilweise für Baukosten der Liegenschaft X.________ (Geschäftsvermögen) aufgenommen. Die Schuldzinsen für die Darlehen S.________ und E.________ betreffen nach den Vorbringen des Beschwerdeführers Grundpfandschulden, die auf der im Privatvermögen liegenden Liegenschaft Y.________ lasten. Das Darlehen Z._________ betrifft gemäss den Ausführungen des Beschwerdeführers einen "Verpfändungskredit" für die Liegenschaft X.________. Eine geschäftliche Verwendung der Mittel ist damit zwar behauptet, aber nicht nachgewiesen, umgekehrt indessen auch nicht ausgeschlossen, und zwar auch nicht bezüglich derjenigen Darlehen, die gegen Verpfändung der im Privatvermögen stehenden Liegenschaften gewährt worden sind. Die Sache ist daher an die Beschwerdegegnerin zurückzuweisen, damit sie im Lichte des Dargelegten dem Beschwerdeführer Gelegenheit gibt, die behauptete geschäftliche Verwendung der Darlehen nachzuweisen. Gestützt darauf hat sie gemäss dem in E. 5 Dargelegten die Qualifikation der umstrittenen Schuldpositionen vorzunehmen und entsprechend neu zu verfügen.</w:t>
      </w:r>
    </w:p>
    <w:p>
      <w:r>
        <w:rPr>
          <w:b/>
        </w:rPr>
        <w:t>E. 7</w:t>
      </w:r>
    </w:p>
    <w:p>
      <w:r>
        <w:t>Dem Verfahrensausgang entsprechend sind die Gerichtskosten der unterliegenden Ausgleichskasse, um deren Vermögensinteresse es geht,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