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470/2021 vom 4. Januar 2022</w:t>
      </w:r>
    </w:p>
    <w:p>
      <w:r>
        <w:t>Bundesgericht, 2022-01-04, DE</w:t>
      </w:r>
    </w:p>
    <w:p>
      <w:r>
        <w:rPr>
          <w:b/>
        </w:rPr>
        <w:t xml:space="preserve">Quelle: </w:t>
      </w:r>
      <w:r>
        <w:t>https://mcp.opencaselaw.ch/entscheid/bger_9C_470_2021</w:t>
      </w:r>
    </w:p>
    <w:p>
      <w:r>
        <w:t>FR: TF 9C 470/2021 du 4 janvier 2022</w:t>
      </w:r>
    </w:p>
    <w:p>
      <w:r>
        <w:t>IT: TF 9C 470/2021 del 4 gennaio 2022</w:t>
      </w:r>
    </w:p>
    <w:p>
      <w:pPr>
        <w:pStyle w:val="Heading2"/>
      </w:pPr>
      <w:r>
        <w:t>Regeste</w:t>
      </w:r>
    </w:p>
    <w:p>
      <w:r>
        <w:t>Invalidenversicherung | Invalidenversicherung</w:t>
      </w:r>
    </w:p>
    <w:p>
      <w:pPr>
        <w:pStyle w:val="Heading2"/>
      </w:pPr>
      <w:r>
        <w:t>Erwägungen</w:t>
      </w:r>
    </w:p>
    <w:p>
      <w:r>
        <w:rPr>
          <w:b/>
        </w:rPr>
        <w:t>E. 1.1</w:t>
      </w:r>
    </w:p>
    <w:p>
      <w:r>
        <w:t>Das Bundesgericht prüft seine Zuständigkeit und die (weiteren) Eintretensvoraussetzungen von Amtes wegen und mit freier Kognition ( Art. 29 Abs. 1 BGG ; BGE 144 V 280 E. 1 mit Hinweis).</w:t>
      </w:r>
    </w:p>
    <w:p>
      <w:r>
        <w:rPr>
          <w:b/>
        </w:rPr>
        <w:t>E. 1.2</w:t>
      </w:r>
    </w:p>
    <w:p>
      <w:r>
        <w:t>Neue Tatsachen und Beweismittel dürfen im bundesgerichtlichen Verfahren gemäss Art. 99 Abs. 1 BGG nur so weit vorgebracht werden, als erst der Entscheid der Vorinstanz dazu Anlass gibt. Neue Begehren sind gemäss Art. 99 Abs. 2 BGG unzulässig. Soweit der Beschwerdeführer eine höhere als eine halbe Invalidenrente beantragt, ist auf die Beschwerde nicht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Bundesrecht verletzt wurde, indem das kantonale Gericht einen Rentenanspruch verneint hat.</w:t>
      </w:r>
    </w:p>
    <w:p>
      <w:r>
        <w:rPr>
          <w:b/>
        </w:rPr>
        <w:t>E. 3.2.1</w:t>
      </w:r>
    </w:p>
    <w:p>
      <w:r>
        <w:t>Die für die Beurteilung der Streitsache massgeblichen rechtlichen Grundlagen wurden im angefochtenen Urteil zutreffend wiedergegeben. Darauf wird verwiesen ( Art. 109 Abs. 3 Satz 2 BGG ).</w:t>
      </w:r>
    </w:p>
    <w:p>
      <w:r>
        <w:rPr>
          <w:b/>
        </w:rPr>
        <w:t>E. 3.2.2</w:t>
      </w:r>
    </w:p>
    <w:p>
      <w:r>
        <w:t>Zudem zu beachten gilt es, dass es sich bei den gerichtlichen Feststellungen zum Gesundheitszustand und zur Arbeitsfähigkeit um Tatfragen handelt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 9C_899/2017 vom 9. Mai 2018 E. 2.1 mit Hinweisen).</w:t>
      </w:r>
    </w:p>
    <w:p>
      <w:r>
        <w:rPr>
          <w:b/>
        </w:rPr>
        <w:t>E. 4.1</w:t>
      </w:r>
    </w:p>
    <w:p>
      <w:r>
        <w:t>Das kantonale Gericht hat den beiden Expertisen der D.________ vom 11. Februar 2019 und der E.________ vom 16. März 2020 Beweiskraft zuerkannt, gestützt darauf eine 100%ige Arbeitsfähigkeit in leidensangepasster Tätigkeit angenommen und mittels der Einkommensvergleichsmethode - den Begehren des Beschwerdeführers folgend unter Offenlassung der Fragen nach dem anwendbaren Kompetenzniveau sowie dem Tabellenabzug - einen rentenausschliessenden Invaliditätsgrad von 36 % ermittelt.</w:t>
      </w:r>
    </w:p>
    <w:p>
      <w:r>
        <w:rPr>
          <w:b/>
        </w:rPr>
        <w:t>E. 4.2</w:t>
      </w:r>
    </w:p>
    <w:p>
      <w:r>
        <w:t>Was der Beschwerdeführer dagegen vorbringt, hält nicht stand.</w:t>
      </w:r>
    </w:p>
    <w:p>
      <w:r>
        <w:rPr>
          <w:b/>
        </w:rPr>
        <w:t>E. 4.2.1</w:t>
      </w:r>
    </w:p>
    <w:p>
      <w:r>
        <w:t>Auf unsubstanziierte respektive rein appellatorische Vorbringen (vgl. BGE 144 V 50 E. 4.2 mit Hinweisen) ist - soweit sie überhaupt relevant sind - nicht einzugehen.</w:t>
      </w:r>
    </w:p>
    <w:p>
      <w:r>
        <w:rPr>
          <w:b/>
        </w:rPr>
        <w:t>E. 4.2.2</w:t>
      </w:r>
    </w:p>
    <w:p>
      <w:r>
        <w:t>Die Rügen gegen die Beweiskraft der beiden Expertisen der D.________ vom 11. Februar 2019 und der E.________ vom 16. März 2020 zielen ins Leere: Insbesondere ist ein Teilgutachten nicht bereits deswegen in Zweifel zu ziehen, weil es die für seinen Fachbereich relevanten Akten aufführt und im Übrigen auf eine Aktenzusammenfassung verweist. Sodann genügen rechtsprechungsgemäss in Anbetracht der sich mit Bezug auf Schmerzen naturgemäss ergebenden Beweisschwierigkeiten die subjektiven Schmerzangaben der versicherten Person für die Begründung einer (teilweisen) Invalidität allein nicht (vgl. BGE 130 V 352 E. 2.2.2 mit Hinweisen). Insofern fehlende Rückfragen respektive eine fehlende Konsensbesprechung hinsichtlich der (allfällig widersprüchlichen) Schmerzangaben des Beschwerdeführers vermögen die Beweiskraft der Expertisen daher nicht in Frage zu stellen. Erkenntnissen von Eingliederungsfachpersonen im Rahmen von beruflichen Abklärungen kommt bezüglich der Beurteilung der Arbeits- und Leistungsfähigkeit sodann nur beschränkte Aussagekraft zu, da diese in erster Linie die subjektive Arbeitsleistung aufzeigen (vgl. Urteil 9C_48/2018 vom 18. Mai 2018 E. 5 mit Hinweis). Damit ist auch eine allenfalls fehlende oder einseitige Berücksichtigung der Ergebnisse der beruflichen Massnahmen mangels Entscheidrelevanz hinsichtlich der Einschätzung der Leistungsfähigkeit eines Leistungsansprechers nicht geeignet, Zweifel an der Beweiskraft einer Expertise zu erwecken. Der Beschwerdeführer ist weiter in der Lage gewesen, seine beklagten (auch arbeitsbezogenen) Beschwerden (insbesondere kognitiver Art) im Rahmen der psychiatrischen Begutachtung vorzutragen (psychiatrisches Fachgutachten der D.________ vom 29. Dezember 2018 S. 83 ff. und S. 87 ff.). Die Feststellung der Vorinstanz, wonach sich die Expertin mit allen in den Berichten der behandelnden Psychiaterin erwähnten Aspekten auseinandergesetzt habe, wird nicht substanziiert bestritten. Eine offensichtliche Unrichtigkeit ist diesbezüglich nicht ersichtlich. Ebenfalls nicht dargetan wird, welche relevanten Elemente aus dem Gutachten der C.________ vom 27. Oktober 2016 unberücksichtigt geblieben sein sollen. Die psychiatrische Expertin setzte sich vielmehr mit der Einschätzung der Vorgutachter auseinander und begründete, weshalb sie dieser nicht folgte (psychiatrisches Fachgutachten S. 79 f.). Zwecks Objektivierung aus neuropsychologischer Sicht waren hauptsächlich die Verhaltensbeobachtung sowie die Ergebnisse der Untersuchung, insbesondere auch mittels Tests (inklusive Validierung), entscheidend. Es ist nicht erkennbar und wird auch nicht substanziiert, inwiefern das neuropsychologische Gutachten hinsichtlich der erhobenen Befunde sowie der daraus gezogenen diagnostischen Schlussfolgerungen widersprüchlich sein soll (neuropsychologisches Fachgutachten der D.________ vom 21. Dezember 2018 S. 112 ff.). Die Experten der E.________ haben bei ihrer Arbeitsfähigkeitsschätzung schliesslich die Einschätzung der D.________-Gutachter mit in ihre Würdigung einbezogen. Damit fand eine Beurteilung über alle Fachgebiete statt (Interdisziplinäre Gesamtbeurteilung S. 9). Die vorinstanzliche Feststellung, wonach sich die Testresultate der drei neuropsychologischen Untersuchungen der D.________ vom Juni 2020 sowie des Spitals G.________ aus dem Jahre 2017 entsprechen würden, ist mit Blick auf die unbestrittene Begründung im angefochtenen Urteil nicht offensichtlich unrichtig. Dass gestützt auf den Bericht vom Juni 2020 keine weiteren Abklärungen für notwendig erachtet wurden, verletzt somit kein Bundesrecht.</w:t>
      </w:r>
    </w:p>
    <w:p>
      <w:r>
        <w:rPr>
          <w:b/>
        </w:rPr>
        <w:t>E. 4.2.3</w:t>
      </w:r>
    </w:p>
    <w:p>
      <w:r>
        <w:t>In der Invalidenversicherung ist nicht der erste, sondern der ausgeglichene Arbeitsmarkt ( Art. 16 ATSG ) massgebend. Mit Blick auf die Vorbringen erhellt nicht, inwiefern die vorinstanzlich festgestellte Arbeitsfähigkeit von 100 % in leidensangepasster Tätigkeit offensichtlich unrichtig sein oder das Ergebnis einer Bundesrechtsverletzung darstellen soll. Nachdem gemäss dem kantonalen Gericht schliesslich auch bei Gewährung des höchstmöglichen Tabellenabzugs kein rentenbegründender Invaliditätsgrad resultieren würde, erübrigen sich Weiterungen zu den diesbezüglichen Rügen.</w:t>
      </w:r>
    </w:p>
    <w:p>
      <w:r>
        <w:rPr>
          <w:b/>
        </w:rPr>
        <w:t>E. 4.3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w:t>
      </w:r>
    </w:p>
    <w:p>
      <w:r>
        <w:rPr>
          <w:b/>
        </w:rPr>
        <w:t>E. 5.1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