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470/2014 vom 31. Juli 2014</w:t>
      </w:r>
    </w:p>
    <w:p>
      <w:r>
        <w:t>Bundesgericht, 2014-07-31, DE</w:t>
      </w:r>
    </w:p>
    <w:p>
      <w:r>
        <w:rPr>
          <w:b/>
        </w:rPr>
        <w:t xml:space="preserve">Quelle: </w:t>
      </w:r>
      <w:r>
        <w:t>https://mcp.opencaselaw.ch/entscheid/bger_9C_470_2014</w:t>
      </w:r>
    </w:p>
    <w:p>
      <w:r>
        <w:t>FR: TF 9C 470/2014 du 31 juillet 2014</w:t>
      </w:r>
    </w:p>
    <w:p>
      <w:r>
        <w:t>IT: TF 9C 470/2014 del 31 luglio 2014</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zugrundeliegt und die Rechtsmittel den nämlichen vorinstanzlichen Entscheid betreffen, rechtfertigt es sich, die Verfahren zu vereinigen und in einem Urteil zu erledigen ( BGE 128 V 124 E. 1 S. 126).</w:t>
      </w:r>
    </w:p>
    <w:p>
      <w:r>
        <w:rPr>
          <w:b/>
        </w:rPr>
        <w:t>E. 2</w:t>
      </w:r>
    </w:p>
    <w:p>
      <w:r>
        <w:t>Das kantonale Gericht erwog, die mit BGE 137 V 210 geänderte Rechtsprechung zur Einholung von MEDAS-Gutachten sei im Grundsatz auch auf im Zeitpunkt der Rechtsprechungsänderung laufende Verfahren anwendbar. Bei Erteilung des Begutachtungsauftrages am 24. Februar 2012 sei BGE 137 V 210 (Urteil 9C_243/2010 vom 28. Juni 2011) bekannt gewesen. Die neuen Anforderungen seien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24. Februar 2012)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3</w:t>
      </w:r>
    </w:p>
    <w:p>
      <w:r>
        <w:t>Die Beschwerde richtet sich, entgegen den Vorbringen der Versicherten, klarerweise gegen einen Zwischenentscheid, der vor Bundesgericht prinzipiell nur unter den Voraussetzungen von Art. 93 Abs. 1 lit. a oder b BGG angefochten werden kann (vgl. auch BGE 138 V 271 ).</w:t>
      </w:r>
    </w:p>
    <w:p>
      <w:r>
        <w:rPr>
          <w:b/>
        </w:rPr>
        <w:t>E. 4</w:t>
      </w:r>
    </w:p>
    <w:p>
      <w:r>
        <w:t>Die Rechtsbegehren der Versicherten sind hauptsächlich materieller Natur und gehen über den Streitgegenstand hinaus. Diesbezüglich ist ohne Weiteres auf die Beschwerde nicht einzutreten ( Art. 108 Abs. 1 lit. a und b BGG ). Soweit sie geltend macht, die Vorinstanz habe ihr das Recht verweigert durch Nichtbehandlung des Antrags auf Anordnung der Wiederaufnahme der Rentenleistungen für den Fall einer Rückweisung an die IV-Stelle, fehlt es in Anbetracht der bei Obsiegen in der Hauptsache geschuldeten Rentennachzahlung (einschliesslich Zinsen) an einem nicht wieder gutzumachenden Nachteil (vgl. unten E. 5.1) rechtlicher Natur, der auch mit einem für die beschwerdeführende Partei günstigen Endentscheid nicht oder nicht vollständig behebbar ist (vgl. BGE 133 V 645 E. 2.1 S. 647).</w:t>
      </w:r>
    </w:p>
    <w:p>
      <w:r>
        <w:rPr>
          <w:b/>
        </w:rPr>
        <w:t>E. 5.1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5.2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5.2.1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5.2.2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5.3).</w:t>
      </w:r>
    </w:p>
    <w:p>
      <w:r>
        <w:rPr>
          <w:b/>
        </w:rPr>
        <w:t>E. 5.3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5.4</w:t>
      </w:r>
    </w:p>
    <w:p>
      <w:r>
        <w:t>Nach dem Gesagten kann auf die Beschwerden gegen den angefochtenen Zwischenentscheid unter keinem Titel eingetreten werden.</w:t>
      </w:r>
    </w:p>
    <w:p>
      <w:r>
        <w:rPr>
          <w:b/>
        </w:rPr>
        <w:t>E. 6.1</w:t>
      </w:r>
    </w:p>
    <w:p>
      <w:r>
        <w:t>Die Beschwerden sind im Verfahren nach Art. 108 Abs. 1 lit. a resp. lit. b und Abs. 2 BGG zu erledigen.</w:t>
      </w:r>
    </w:p>
    <w:p>
      <w:r>
        <w:rPr>
          <w:b/>
        </w:rPr>
        <w:t>E. 6.2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