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9C_469/2024 vom 16. September 2024</w:t>
      </w:r>
    </w:p>
    <w:p>
      <w:r>
        <w:t>Bundesgericht, 2024-09-16, DE</w:t>
      </w:r>
    </w:p>
    <w:p>
      <w:r>
        <w:rPr>
          <w:b/>
        </w:rPr>
        <w:t xml:space="preserve">Quelle: </w:t>
      </w:r>
      <w:r>
        <w:t>https://mcp.opencaselaw.ch/entscheid/bger_9C_469_2024</w:t>
      </w:r>
    </w:p>
    <w:p>
      <w:r>
        <w:t>FR: TF 9C_469/2024 du 16 septembre 2024</w:t>
      </w:r>
    </w:p>
    <w:p>
      <w:r>
        <w:t>IT: TF 9C_469/2024 del 16 settembre 2024</w:t>
      </w:r>
    </w:p>
    <w:p>
      <w:pPr>
        <w:pStyle w:val="Heading2"/>
      </w:pPr>
      <w:r>
        <w:t>Erwägungen</w:t>
      </w:r>
    </w:p>
    <w:p>
      <w:r>
        <w:rPr>
          <w:b/>
        </w:rPr>
        <w:t>E. 1.1</w:t>
      </w:r>
    </w:p>
    <w:p>
      <w:r>
        <w:t>A.________ hat Wohnsitz in U.________/SO. Im Zusammenhang mit dem Inkasso rechtskräftig festgesetzter Gerichtsgebühren auferlegte die Gerichtsverwaltung des Kantons Solothurn A.________ eine Mahngebühr von Fr. 50.-. Dagegen gelangte A.________ an das Verwaltungsgericht des Kantons Solothurn. Dieses wies die Beschwerde ab und trat auf das Gesuch um Erteilung der unentgeltlichen Rechtspflege nicht ein, da für das verwaltungsgerichtliche Verfahren keine Kosten erhoben wurden (Urteil des Verwaltungsgerichts des Kantons Solothurn vom 15. Juli 2024).</w:t>
      </w:r>
    </w:p>
    <w:p>
      <w:r>
        <w:rPr>
          <w:b/>
        </w:rPr>
        <w:t>E. 1.2</w:t>
      </w:r>
    </w:p>
    <w:p>
      <w:r>
        <w:t>Mit Eingabe vom 3. September 2024 erhebt A.________ (nachfolgend: Beschwerdeführer) beim Bundesgericht Beschwerde in öffentlich-rechtlichen Angelegenheiten.</w:t>
      </w:r>
    </w:p>
    <w:p>
      <w:r>
        <w:rPr>
          <w:b/>
        </w:rPr>
        <w:t>E. 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Auf ungenügend begründete Rügen oder allgemeine appellatorische Kritik am angefochtenen Entscheid tritt das Bundesgericht nicht ein (zum Ganzen: BGE 149 II 337 E. 2.2).</w:t>
      </w:r>
    </w:p>
    <w:p>
      <w:r>
        <w:rPr>
          <w:b/>
        </w:rPr>
        <w:t>E. 2.2</w:t>
      </w:r>
    </w:p>
    <w:p>
      <w:r>
        <w:t>Den genannten Anforderungen an eine substanziierte Rüge genügen die vom Beschwerdeführer vorgebrachten Argumente offensichtlich nicht. Seine Ausführungen sind bruchstückhaft und zielen allesamt ins Leere. So macht er insbesondere nicht zusammenhängende Ausführungen zum Strafrecht und setzt sich nicht mit dem Streitgegenstand, der auferlegten Mahngebühr von Fr. 50.-, auseinander (vgl. hierzu auch BGE 144 II 359 E. 4.3). Dass auch vor Bundesgericht ein Antrag um unentgeltliche Rechtspflege gestellt würde, ist nicht ersichtlich.</w:t>
      </w:r>
    </w:p>
    <w:p>
      <w:r>
        <w:rPr>
          <w:b/>
        </w:rPr>
        <w:t>E. 2.3</w:t>
      </w:r>
    </w:p>
    <w:p>
      <w:r>
        <w:t>Zur weiteren Geltendmachung einer angeblichen Verletzung der Eigentumsgarantie nach Art. 26 BV fehlen verfassungsbezogene Ausführungen und/oder eine qualifizierte Begründung ( Art. 106 Abs. 2 BGG ). Darauf ist entsprechend nicht weiter einzugehen.</w:t>
      </w:r>
    </w:p>
    <w:p>
      <w:r>
        <w:rPr>
          <w:b/>
        </w:rPr>
        <w:t>E. 3</w:t>
      </w:r>
    </w:p>
    <w:p>
      <w:r>
        <w:t>Auf die Beschwerde ist mangels offensichtlich hinreichender Begründung in der Sache im vereinfachten Verfahren durch Entscheid des Abteilungspräsidenten nach Art. 108 Abs. 1 lit. b BGG nicht einzutreten. Umständehalber wird in Anwendung von Art. 66 Abs. 1 Satz 2 BGG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