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9C_468/2019 vom 17. Juli 2019</w:t>
      </w:r>
    </w:p>
    <w:p>
      <w:r>
        <w:t>Bundesgericht, 2019-07-17, DE</w:t>
      </w:r>
    </w:p>
    <w:p>
      <w:r>
        <w:rPr>
          <w:b/>
        </w:rPr>
        <w:t xml:space="preserve">Quelle: </w:t>
      </w:r>
      <w:r>
        <w:t>https://mcp.opencaselaw.ch/entscheid/bger_9C_468_2019</w:t>
      </w:r>
    </w:p>
    <w:p>
      <w:r>
        <w:t>FR: TF 9C_468/2019 du 17 juillet 2019</w:t>
      </w:r>
    </w:p>
    <w:p>
      <w:r>
        <w:t>IT: TF 9C_468/2019 del 17 luglio 2019</w:t>
      </w:r>
    </w:p>
    <w:p>
      <w:pPr>
        <w:pStyle w:val="Heading2"/>
      </w:pPr>
      <w:r>
        <w:t>Volltext</w:t>
      </w:r>
    </w:p>
    <w:p>
      <w:r>
        <w:t>Bundesgericht</w:t>
      </w:r>
    </w:p>
    <w:p>
      <w:r>
        <w:t>Tribunal fédéral</w:t>
      </w:r>
    </w:p>
    <w:p>
      <w:r>
        <w:t>Tribunale federale</w:t>
      </w:r>
    </w:p>
    <w:p>
      <w:r>
        <w:t>Tribunal federal</w:t>
      </w:r>
    </w:p>
    <w:p>
      <w:r>
        <w:t>9C_468/2019</w:t>
      </w:r>
    </w:p>
    <w:p>
      <w:r>
        <w:t>Urteil vom 17. Juli 2019</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Ausgleichskasse Hotela,</w:t>
      </w:r>
    </w:p>
    <w:p>
      <w:r>
        <w:t>Rue de la Gare 18, 1820 Montreux,</w:t>
      </w:r>
    </w:p>
    <w:p>
      <w:r>
        <w:t>Beschwerdegegnerin.</w:t>
      </w:r>
    </w:p>
    <w:p>
      <w:r>
        <w:t>Gegenstand</w:t>
      </w:r>
    </w:p>
    <w:p>
      <w:r>
        <w:t>Alters- und Hinterlassenenversicherung (Prozessvoraussetzung),</w:t>
      </w:r>
    </w:p>
    <w:p>
      <w:r>
        <w:t>Beschwerde gegen den Entscheid des Kantonsgerichts Luzern vom 28. Mai 2019 (5V 18 203).</w:t>
      </w:r>
    </w:p>
    <w:p>
      <w:r>
        <w:t>Nach Einsicht</w:t>
      </w:r>
    </w:p>
    <w:p>
      <w:r>
        <w:t>in die Beschwerde vom 8. Juli 2019 (Poststempel) gegen den Entscheid des Kantonsgerichts Luzern vom 28. Mai 2019,</w:t>
      </w:r>
    </w:p>
    <w:p>
      <w:r>
        <w:t>in Erwägung,</w:t>
      </w:r>
    </w:p>
    <w:p>
      <w:r>
        <w:t>dass die Vorinstanz im Wesentlichen feststellte, der Beschwerdeführer sei einziger Gesellschafter und Geschäftsführer der nunmehr konkursiten B.________ GmbH mit Sitz zunächst in X.________, später in Y.________, gewesen, die als Arbeitgeberin ihrer Beitragspflicht vom 1. Dezember 2015 bis zum 29. Februar 2016 nicht vollständig nachgekommen sei, was bei der Ausgleichskasse Hotela zu einem Schaden von Fr. 34'011.45 geführt habe,</w:t>
      </w:r>
    </w:p>
    <w:p>
      <w:r>
        <w:t>dass sie erwog, der Beschwerdeführer sei seinen unübertragbaren Kontroll- und Aufsichtspflichten als formelles Organ der B.________ GmbH (Art. 810 Abs. 2 Ziff. 1, 3 und 4 OR) in grobfahrlässiger Weise nicht nachgekommen, wobei der eingetretene Schaden durch pflichtgemässes Handeln überwiegend wahrscheinlich hätte vermieden werden können und Exkulpationsgründe nicht vorgelegen hätten,</w:t>
      </w:r>
    </w:p>
    <w:p>
      <w:r>
        <w:t>dass das kantonale Gericht folglich eine Schadenersatzpflicht des Beschwerdeführers im Umfang von Fr. 34'011.45 bestätigte,</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sind ( BGE 134 V 53 E. 3.3 S. 60),</w:t>
      </w:r>
    </w:p>
    <w:p>
      <w:r>
        <w:t>dass die Beschwerde diesen inhaltlichen Mindestanforderungen nicht genügt, da den - weitschweifigen und überwiegend nicht den Streitgegenstand betreffenden - Ausführungen nicht entnommen werden kann, inwiefern die Sachverhaltsfeststellungen der Vorinstanz im Sinne von Art. 97 Abs. 1 BGG - soweit überhaupt beanstandet - unzutreffend (unhaltbar, willkürlich; BGE 140 V 22 E. 7.3.1 S. 29) oder die darauf beruhenden Erwägungen rechtsfehlerhaft ( Art. 95 BGG ) sein sollten,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17. Juli 2019</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