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468/2011 vom 12. Dezember 2011</w:t>
      </w:r>
    </w:p>
    <w:p>
      <w:r>
        <w:t>Bundesgericht, 2011-12-12, FR</w:t>
      </w:r>
    </w:p>
    <w:p>
      <w:r>
        <w:rPr>
          <w:b/>
        </w:rPr>
        <w:t xml:space="preserve">Quelle: </w:t>
      </w:r>
      <w:r>
        <w:t>https://mcp.opencaselaw.ch/entscheid/bger_9C_468_2011</w:t>
      </w:r>
    </w:p>
    <w:p>
      <w:r>
        <w:t>FR: TF 9C 468/2011 du 12 décembre 2011</w:t>
      </w:r>
    </w:p>
    <w:p>
      <w:r>
        <w:t>IT: TF 9C 468/2011 del 12 dicembre 2011</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En l'espèce, la juridiction cantonale a considéré qu'il n'existait pas de motif de révision au sens de l' art. 17 LPGA , aucune modification des circonstances propre à influer sur la capacité de gain de l'intimée n'ayant été rendue vraisemblable. Si l'état de santé s'était amélioré sur le plan psychique, il n'était pas possible de déterminer si tel était le cas sur le plan physique, l'expertise réalisée par le docteur B.________ ne remplissant pas les critères jurisprudentiels en matière de valeur probante. Au contraire, il ressortait du dossier que les cervicalgies, lombalgies et gonalgies, déjà diagnostiquées en 2001, étaient toujours présentes en 2009 et que le syndrome du tunnel carpien, qui semblait s'être amélioré, avait récidivé. Aussi longtemps que l'aspect somatique n'était pas instruit à satisfaction de droit, il n'était pas possible de déterminer, au degré de la vraisemblance requise, quelle était l'influence des atteintes à la santé sur la capacité de gain de l'intimée au mois de novembre 2009 et, partant, d'examiner l'évolution de la situation depuis le mois d'octobre 2001.</w:t>
      </w:r>
    </w:p>
    <w:p>
      <w:r>
        <w:rPr>
          <w:b/>
        </w:rPr>
        <w:t>E. 2.2</w:t>
      </w:r>
    </w:p>
    <w:p>
      <w:r>
        <w:t>L'office recourant reproche à la juridiction cantonale d'avoir procédé à une constatation manifestement inexacte des faits pertinents, consécutive à une mauvaise appréciation des preuves, en ne retenant pas les conclusions dûment motivées de l'expertise réalisée par le docteur B.________, et d'avoir violé le droit fédéral en niant l'existence d'un motif de révision. A tout le moins, dès lors que la juridiction cantonale avait des doutes quant à la valeur probante de l'expertise du docteur B.________, il lui appartenait d'ordonner, conformément au principe inquisitoire, des mesures d'instruction complémentaires afin d'éclaircir les aspects médicaux jugés incomplets.</w:t>
      </w:r>
    </w:p>
    <w:p>
      <w:r>
        <w:rPr>
          <w:b/>
        </w:rPr>
        <w:t>E. 3</w:t>
      </w:r>
    </w:p>
    <w:p>
      <w:r>
        <w:t>Le jugement entrepris expose correctement les dispositions légales et la jurisprudence applicables en matière d'évaluation de l'invalidité et de révision de la rente, de sorte qu'il suffit d'y renvoyer.</w:t>
      </w:r>
    </w:p>
    <w:p>
      <w:r>
        <w:rPr>
          <w:b/>
        </w:rPr>
        <w:t>E. 4.1</w:t>
      </w:r>
    </w:p>
    <w:p>
      <w:r>
        <w:t>Les premiers juges ont retenu - de manière à lier le Tribunal fédéral - que l'intimée souffrait à l'époque de l'octroi de la demi-rente d'invalidité, soit en octobre 2001, principalement de cervicalgies, d'une spondylarthrose en C7-D1, d'une encéphalopathie post-traumatique minime à modérée, d'une irritation radiculaire C6 bilatérale, d'une discarthrose étagée (L3-L4 et L4-L5), avec une protrusion discale également étagée (L3-L4, L4-L5 et L5-S1), d'une hypertrophie ligamentaire jaune, d'un syndrome de stress post-traumatique non entièrement résolu, d'un état dépressif moyen avec syndrome somatique et d'une boulimie atypique.</w:t>
      </w:r>
    </w:p>
    <w:p>
      <w:r>
        <w:rPr>
          <w:b/>
        </w:rPr>
        <w:t>E. 4.2</w:t>
      </w:r>
    </w:p>
    <w:p>
      <w:r>
        <w:t>S'il n'est pas contesté, eu égard aux conclusions convaincantes de l'expertise du docteur T.________, que l'état de santé psychique de l'intimée s'est amélioré depuis 2001, force est d'admettre que la situation n'est pas aussi claire sur le plan somatique. On ne saurait considérer que les premiers juges ont fait preuve d'arbitraire en déniant pleine valeur probante au rapport d'expertise du docteur B.________. Outre que les explications de ce médecin sont particulièrement succinctes et présentent peu de liens avec les éléments radiographiques mis en évidence et les plaintes alléguées par l'intimée, son rapport souffre de ne livrer qu'un instantané de la situation, sans mise en perspective temporelle, la question - pourtant déterminante en l'espèce - de l'évolution de la pathologie depuis 2001 ayant été éludée. En tant que l'office recourant fait grief à la juridiction cantonale d'avoir écarté le rapport d'expertise du docteur B.________, son recours s'avère ainsi mal fondé.</w:t>
      </w:r>
    </w:p>
    <w:p>
      <w:r>
        <w:rPr>
          <w:b/>
        </w:rPr>
        <w:t>E. 4.3</w:t>
      </w:r>
    </w:p>
    <w:p>
      <w:r>
        <w:t>Cela étant admis, les premiers juges ne pouvaient laisser la cause en l'état et conclure, sans autre forme de procès, à l'absence d'amélioration de l'état de santé de l'intimée. Dans le contexte de la suppression du droit à des prestations d'assurance, la règle selon laquelle le fardeau de la preuve appartient à la partie qui invoque la suppression du droit entre seulement en considération s'il n'est pas possible, dans les limites du principe inquisitoire, d'établir sur la base d'une appréciation des preuves un état de fait qui, au degré de vraisemblance prépondérante, corresponde à la réalité de la situation ( ATF 117 V 261 consid. 3b p. 264). Consacré à l' art. 61 let . c LPGA, le principe inquisitoire impose au juge de constater les faits d'office, avec la collaboration des parties, et d'administrer les preuves nécessaires (cf. ATF 125 V 193 consid. 2 p. 195). En cas de doute sur le sérieux de l'existence d'un fait, il lui appartient de compléter l'instruction de la cause, pour autant que l'on puisse attendre un résultat probant des mesures d'instruction entrant raisonnablement en considération ( ATF 130 II 425 consid. 2.1 p. 429 et les références).</w:t>
      </w:r>
    </w:p>
    <w:p>
      <w:r>
        <w:rPr>
          <w:b/>
        </w:rPr>
        <w:t>E. 4.4</w:t>
      </w:r>
    </w:p>
    <w:p>
      <w:r>
        <w:t>En l'état de la cause, la juridiction cantonale n'avait donc pas le droit de faire supporter les conséquences de l'absence de preuve à l'office recourant; il lui appartenait bien plutôt de déterminer précisément la capacité résiduelle de travail de l'intimée en ordonnant des mesures d'instruction supplémentaires. Dans la mesure où la rente d'invalidité initiale a été allouée sur la base d'une conjonction de facteurs psychiques et somatiques (cf. supra consid. 4.1), le point de savoir si l'état de santé de l'intimée a évolué favorablement ne peut toutefois résulter que d'un dialogue interdisciplinaire. A cet égard, on peut s'étonner que l'office recourant ait ordonné, au vu de la problématique médicale, la réalisation de deux expertises indépendantes plutôt que d'une expertise pluridisciplinaire. Compte tenu de ces précisions, il convient de renvoyer le dossier à la juridiction cantonale afin qu'elle mette en oeuvre une expertise pluridisciplinaire. Aussi le recours doit-il être admis en ce sens et le jugement attaqué annulé.</w:t>
      </w:r>
    </w:p>
    <w:p>
      <w:r>
        <w:rPr>
          <w:b/>
        </w:rPr>
        <w:t>E. 5</w:t>
      </w:r>
    </w:p>
    <w:p>
      <w:r>
        <w:t>Les frais afférents à la présente procédure seront supportés par l'intimée qui succombe ( art. 66 al. 1 LTF ). Elle a cependant déposé une demande d'assistance judiciaire visant à la dispense des frais judiciaires et à la désignation d'un avocat d'office. Les conditions d'octroi étant visiblement réalisées ( art. 64 al. 1 et 2 LTF ), celle-ci lui est accordée. Elle est toutefois rendue attentive au fait qu'elle devra rembourser la caisse du Tribunal,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