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9C_468/2010 vom 31. Januar 2011</w:t>
      </w:r>
    </w:p>
    <w:p>
      <w:r>
        <w:t>Bundesgericht, 2011-01-31, FR</w:t>
      </w:r>
    </w:p>
    <w:p>
      <w:r>
        <w:rPr>
          <w:b/>
        </w:rPr>
        <w:t xml:space="preserve">Quelle: </w:t>
      </w:r>
      <w:r>
        <w:t>https://mcp.opencaselaw.ch/entscheid/bger_9C_468_2010</w:t>
      </w:r>
    </w:p>
    <w:p>
      <w:r>
        <w:t>FR: TF 9C_468/2010 du 31 janvier 2011</w:t>
      </w:r>
    </w:p>
    <w:p>
      <w:r>
        <w:t>IT: TF 9C_468/2010 del 31 gennaio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La juridiction cantonale a procédé à une analyse détaillée des différentes affections de l'intimé. En premier lieu, elle a constaté que l'examen des troubles psychiques par le Centre d'expertise médicale de Z.________ manquait de précision quant à la date à laquelle remontait l'aggravation constatée de l'état de santé psychique. Cette question pouvait néanmoins demeurer indécise au regard de la problématique somatique présentée par l'intimé. Celui-ci présentait en effet une incapacité de travail de 20 % en lien avec les atteintes d'origine rhumatologique (coxarthrose et lombalgies) et une incapacité totale en lien avec la dysfonction vestibulaire gauche. Se fondant sur les témoignages des docteurs R.________ et L.________, lesquels étaient confirmés - quant à la permanence des symptômes et de l'atteinte vestibulaire - par les rapports établis par le Centre d'expertise médical de Y.________, le docteur T.________ et le psychothérapeute M.________, les premiers juges ont jugé que l'intimé ne disposait plus d'aucune capacité de travail à raison de ce trouble, quelle que soit l'activité exercée. Ils ont par ailleurs rejeté la requête de l'office AI tendant à la mise en oeuvre d'une instruction complémentaire, au motif qu'il apparaissait irréaliste de trouver un emploi correspondant aux limitations de l'assuré.</w:t>
      </w:r>
    </w:p>
    <w:p>
      <w:r>
        <w:rPr>
          <w:b/>
        </w:rPr>
        <w:t>E. 2.2</w:t>
      </w:r>
    </w:p>
    <w:p>
      <w:r>
        <w:t>L'office recourant reproche à la juridiction cantonale d'avoir procédé à une constatation manifestement inexacte des faits pertinents consécutive à une mauvaise appréciation des preuves. Les rapports des docteurs R.________ et L.________, sur lesquels les premiers juges se sont principalement fondés, ne feraient pas la distinction entre ce qui relèveraient de simples plaintes subjectives et les constatations médicales objectives. Il fait également grief aux premiers juges de s'être écartés des conclusions de l'expertise judiciaire et de n'avoir pas pris en compte le résultat de la mesure d'observation professionnelle qu'ils avaient ordonnée. De manière plus général, il juge la motivation du jugement entrepris insuffisante, dès lors qu'elle ne lui permettrait pas de connaître les motifs qui ont conduits les premiers juges à écarter certains éléments du dossier.</w:t>
      </w:r>
    </w:p>
    <w:p>
      <w:r>
        <w:rPr>
          <w:b/>
        </w:rPr>
        <w:t>E. 3</w:t>
      </w:r>
    </w:p>
    <w:p>
      <w:r>
        <w:t>Sur le plan formel, l'office recourant se plaint d'une violation de son droit d'être entendu pour défaut de motivation du jugement entrepris, en tant que celui-ci n'indiquerait pas les raisons pour lesquelles la juridiction cantonale a écarté certains éléments de preuve au profit de certains autres.</w:t>
      </w:r>
    </w:p>
    <w:p>
      <w:r>
        <w:rPr>
          <w:b/>
        </w:rPr>
        <w:t>E. 3.1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publié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3.2</w:t>
      </w:r>
    </w:p>
    <w:p>
      <w:r>
        <w:t>Pour autant qu'il puisse être considéré comme suffisamment motivé au sens de l' art. 106 al. 2 LTF , le grief de violation du droit d'être entendu pour défaut de motivation de la décision attaquée n'est pas fondé en l'espèce. La motivation du jugement entrepris permet de comprendre parfaitement quels éléments ont été retenus par la juridiction cantonale et pourquoi ils l'ont été. En réalité, en tant que l'office recourant reproche à la juridiction cantonale de n'avoir pas motivé de manière suffisamment intelligible son refus de tenir compte de différents éléments qu'il jugeait pertinents pour la solution du litige, le grief se confond avec celui d'arbitraire dans la constatation des faits et l'appréciation des preuves. Il convient de l'examiner avec le fond du litige.</w:t>
      </w:r>
    </w:p>
    <w:p>
      <w:r>
        <w:rPr>
          <w:b/>
        </w:rPr>
        <w:t>E. 4</w:t>
      </w:r>
    </w:p>
    <w:p>
      <w:r>
        <w:t>En l'occurrence, il n'y a pas lieu de s'écarter de l'appréciation qu'a faite la juridiction cantonale des moyens de preuve dont elle disposait. A la lecture du jugement entrepris, les premiers juges ont laissé indécise la question de l'influence des troubles psychiques sur la capacité de travail de l'intimé, estimant que les séquelles du trouble vestibulaire justifiaient à elles seules la reconnaissance d'une incapacité totale de travailler. Au regard des éléments versés au dossier, cette appréciation n'apparaît nullement arbitraire. Les renseignements fournis par les docteurs R.________ et L.________ tout au long de la procédure démontrent l'importance et la singularité des troubles affectant l'intimé, de même que leur caractère irrémédiable (voir notamment le rapport du 14 novembre 2006 du docteur L.________); on en veut pour preuve que les séances de physiothérapie vestibulaire suivies durant près de deux ans par l'intimé n'ont pas apporté d'améliorations sensibles (rapport de la doctoresse R.________ du 17 février 2009). Les éléments avancés par l'office recourant à l'appui de son recours ne permettent pas de se convaincre que les troubles allégués par l'intimé ne seraient que l'expression de plaintes de nature exclusivement subjective. L'intimé présente des manifestations objectives sous la forme de vertiges, de pertes de l'équilibre et de nausées qui le gênent sérieusement dans sa vie quotidienne (voir également les éléments d'observation contenus dans le rapport d'observation professionnelle du 8 juillet 2008). Certes, le docteur L.________ a reconnu que l'intimé disposait objectivement d'une capacité résiduelle de travail dans une activité adaptée; dans le même temps, ce médecin s'est cependant interrogé sur l'existence concrète sur le marché du travail d'une activité qui ne requiert aucun mouvement particulier (auditions des 4 mars 2008 et 16 février 2010; voir également l'audition du 22 janvier 2008 de la doctoresse R.________). On ne voit pas que les premiers juges auraient violé le droit fédéral, en estimant, sur la base du témoignage d'un spécialiste en oto-rhino-laryngologie, qu'une activité adaptée aux limitations de l'intimé n'existait pratiquement pas sur le marché général du travail. Au regard de la prépondérance du problème vestibulaire, on ne saurait non plus reprocher aux premiers juges de n'avoir pas suivi les conclusions de l'expertise bidisciplinaire réalisée par le Centre d'expertise médicale de Z.________, ce d'autant que la valeur probante de ce document était sujette à caution, puisqu'il ne comportait pas de volet oto-rhino-layringologique et que les conclusions résultaient d'une appréciation sectorielle et non pas globale de la situation. Le caractère lacunaire de cette expertise, quand bien même elle a été ordonnée par la juridiction cantonale, ne justifie pas de lui renvoyer la cause pour instruction complémentaire, les éléments versés au dossier étant suffisants pour se forger une opinion claire et précise de la situation.</w:t>
      </w:r>
    </w:p>
    <w:p>
      <w:r>
        <w:rPr>
          <w:b/>
        </w:rPr>
        <w:t>E. 5.1</w:t>
      </w:r>
    </w:p>
    <w:p>
      <w:r>
        <w:t>L'office recourant reproche également à la juridiction cantonale d'avoir fixé au 16 janvier 2006 le début du délai de carence pour fixer le moment de la naissance du droit à la rente, sans avoir indiqué les éléments sur lesquels elle s'était basée pour retenir cette date.</w:t>
      </w:r>
    </w:p>
    <w:p>
      <w:r>
        <w:rPr>
          <w:b/>
        </w:rPr>
        <w:t>E. 5.2</w:t>
      </w:r>
    </w:p>
    <w:p>
      <w:r>
        <w:t>A la limite de la témérité, ce moyen doit être rejeté. Le 16 janvier 2006 correspond en effet à la date retenue par l'office AI pour fixer le début du délai de carence d'un an au sens de l' art. 29 al. 1 let. b LAI (dans sa teneur en vigueur jusqu'au 31 décembre 2007; aujourd'hui: art. 28 al. 1 let. b LAI ), laquelle est déterminante pour procéder à la comparaison des revenus au sens de l' art. 16 LPGA (voir la décision de l'office AI du 8 janvier 2008 ainsi que le rapport du service de la réadaptation professionnelle du 6 novembre 2007).</w:t>
      </w:r>
    </w:p>
    <w:p>
      <w:r>
        <w:rPr>
          <w:b/>
        </w:rPr>
        <w:t>E. 6</w:t>
      </w:r>
    </w:p>
    <w:p>
      <w:r>
        <w:t>En tous points mal fondé, le recours doit être rejeté. L'office recourant, qui succombe, supportera les frais judiciaires afférents à la présente procédure (art. 66 al. 1, 1ère phrase, LTF). L'intimé a droit à une indemnité de dépens à charge de l'office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