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9C_467/2022 vom 3. Februar 2023</w:t>
      </w:r>
    </w:p>
    <w:p>
      <w:r>
        <w:t>Bundesgericht, 2023-02-03, DE</w:t>
      </w:r>
    </w:p>
    <w:p>
      <w:r>
        <w:rPr>
          <w:b/>
        </w:rPr>
        <w:t xml:space="preserve">Quelle: </w:t>
      </w:r>
      <w:r>
        <w:t>https://mcp.opencaselaw.ch/entscheid/bger_9C_467_2022</w:t>
      </w:r>
    </w:p>
    <w:p>
      <w:r>
        <w:t>FR: TF 9C_467/2022 du 3 février 2023</w:t>
      </w:r>
    </w:p>
    <w:p>
      <w:r>
        <w:t>IT: TF 9C_467/2022 del 3 febbraio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letztinstanzlich einzig, ob das kantonale Gericht Bundesrecht verletzte, indem es einen Anspruch der Beschwerdeführerin auf berufliche Eingliederungsmassnahmen, namentlich auf arbeitsvermittelnde Vorkehren, verneinte. Nicht mehr Gegenstand der Beschwerde vor Bundesgericht bildet die abschlägig beschiedene Rentenfrage. Da diesbezüglich keine offensichtlichen Mängel erkennbar sind, hat es insoweit beim vorinstanzlichen Urteil sein Bewenden.</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148 V 174 E. 4.1 mit Hinweisen) sind daher die Bestimmungen des IVG und diejenigen der Verordnung über die Invalidenversicherung (IVV; SR 831.201) in der bis 31. Dezember 2021 gültig gewesenen Fassung anwendbar (nachfolgend: aArt.).</w:t>
      </w:r>
    </w:p>
    <w:p>
      <w:r>
        <w:rPr>
          <w:b/>
        </w:rPr>
        <w:t>E. 3.2</w:t>
      </w:r>
    </w:p>
    <w:p>
      <w:r>
        <w:t>Die entscheidwesentlichen rechtlichen Grundlagen wurden von der Vorinstanz zutreffend wiedergegeben. Darauf wird verwiesen. Hervorzuheben ist das Folgende:</w:t>
      </w:r>
    </w:p>
    <w:p>
      <w:r>
        <w:rPr>
          <w:b/>
        </w:rPr>
        <w:t>E. 3.2.1</w:t>
      </w:r>
    </w:p>
    <w:p>
      <w:r>
        <w:t>Der Anspruch auf Arbeitsvermittlung durch die Invalidenversicherung nach aArt. 18 Abs. 1 IVG ist von der Arbeitsvermittlung Behinderter durch die Arbeitslosenversicherung (Art. 15 Abs. 2 in Verbindung mit Art. 17 Abs. 2bis AVIG ) zu unterscheiden. Die Invalidenversicherung ist für invalide Versicherte hinsichtlich der Arbeitsvermittlung vorrangig zuständig. Die Arbeitsvermittlung in der Arbeitslosenversicherung wird unabhängig von jener durch die Invalidenversicherung beurteilt ( BGE 116 V 80 E. 7c; Urteil I 265/02 vom 19. Februar 2003 E. 3.2 mit Hinweisen).</w:t>
      </w:r>
    </w:p>
    <w:p>
      <w:r>
        <w:rPr>
          <w:b/>
        </w:rPr>
        <w:t>E. 3.2.2</w:t>
      </w:r>
    </w:p>
    <w:p>
      <w:r>
        <w:t>Notwendig für die Bejahung des Anspruchs auf Arbeitsvermittlung sind die allgemeinen Voraussetzungen für Leistungen der Invalidenversicherung gemäss Art. 4 ff. und 8 IVG , d.h. insbesondere eine leistungsspezifische Invalidität ( Art. 4 Abs. 2 IVG ), welche im Rahmen von aArt. 18 Abs. 1 lit. a IVG schon bei relativ geringen gesundheitlich bedingten Erschwernissen in der Suche nach einer Arbeitsstelle erfüllt ist. Eine für die Arbeitsvermittlung massgebende Invalidität liegt daher vor, wenn die versicherte Person bei der Suche nach einer geeigneten Arbeitsstelle aus gesundheitlichen Gründen Schwierigkeiten hat ( BGE 116 V 80 E. 6a mit Hinweis; Urteile I 478/98 vom 14. Mai 1999 E. 1a, in: AHI 2000 S. 69, und I 409/98 vom 19. November 1998 E. 2b, in: AHI 2000 S. 68), d.h. es muss für die Bejahung einer Invalidität im Sinne von aArt. 18 Abs. 1 lit. a IVG zwischen dem Gesundheitsschaden und der Notwendigkeit der Arbeitsvermittlung ein Kausalzusammenhang bestehen. Gesundheitliche Schwierigkeiten bei der Suche einer neuen Arbeitsstelle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der versicherten Person erläutert werden müssen (z.B. welche Tätigkeiten trotz Sehbehinderung erledigt werden können), damit die Person mit Behinderung überhaupt eine Chance hat, den gewünschten Arbeitsplatz zu erhalten. Zur Arbeitsvermittlung nach aArt. 18 Abs. 1 lit. a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I 265/02 vom 19. Februar 2003 E. 3.3 mit diversen Hinweisen).</w:t>
      </w:r>
    </w:p>
    <w:p>
      <w:r>
        <w:rPr>
          <w:b/>
        </w:rPr>
        <w:t>E. 4.1</w:t>
      </w:r>
    </w:p>
    <w:p>
      <w:r>
        <w:t>Das kantonale Gericht ist gestützt auf die medizinische Aktenlage, namentlich den Bericht des Spitals B.________ vom 3. Dezember 2020 sowie die Stellungnahmen des RAD vom 23. Dezember 2020 und 28. Juli 2021, zum Schluss gelangt, gesundheitliche Schwierigkeiten, welche die Suche nach einer neuen Arbeitsstelle erschweren könnten, seien nicht auszumachen und würden von der Versicherten auch nicht ins Feld geführt. Der Vermerk im Bericht des Spitals B.________ vom 3. Dezember 2020, wonach die Patientin bei der Suche nach einer geeigneten Arbeitsstelle Hilfe benötige, stehe nicht mit invaliditätsbedingten Problemen in Zusammenhang. Vielmehr wirkten sich die ärztlich bescheinigten Beeinträchtigungen nicht derart aus, dass die Beschwerdeführerin für ihre Stellenbemühungen auf das Fachwissen und die professionelle Unterstützung der Invalidenversicherung im Rahmen von arbeitsvermittelnden Massnahmen angewiesen wäre. Trotz des diagnostizierten chronischen Handekzems seien trockene und nicht stark schmutzige Tätigkeiten ohne langes Tragen von Gummihandschuhen, ohne Exposition gegenüber Chemikalien/Reinigungsmitteln und ohne ständiges oder regelmässiges Waschen oder Desinfizieren der Hände denn auch noch uneingeschränkt zumutbar. Es kämen vor diesem Hintergrund viele Beschäftigungen in Betracht, welche die Beschwerdeführerin auszuüben in der Lage sei. Auch der von ihr angerufene Bericht des Spitals B.________ verweise bei der Frage nach allfälligen Gründen, die einer Eingliederung im Wege stünden, unter anderem auf die deutlich limitierten Sprachkenntnisse der Versicherten hin. Diese dürften, so die Vorinstanz im Weiteren, neben der fehlenden Berufsausbildung und der eingeschränkten Erfahrung im Arbeitsalltag der massgebliche Grund dafür sein, weshalb die Beschwerdeführerin bei der Suche nach einer geeigneten Anstellung mutmasslich auf Dritthilfe angewiesen sei. Da es sich dabei aber nicht um invaliditätsbedingte Faktoren handle, sei nicht die Invalidenversicherung zuständig, sondern die Arbeitslosenversicherung.</w:t>
      </w:r>
    </w:p>
    <w:p>
      <w:r>
        <w:rPr>
          <w:b/>
        </w:rPr>
        <w:t>E. 4.2</w:t>
      </w:r>
    </w:p>
    <w:p>
      <w:r>
        <w:t>Was dagegen vor Bundesgericht vorgebracht wird, vermag weder eine offensichtliche Unrichtigkeit der vorinstanzlichen Feststellungen noch eine anderweitige Bundesrechtsverletzung aufzuzeigen.</w:t>
      </w:r>
    </w:p>
    <w:p>
      <w:r>
        <w:rPr>
          <w:b/>
        </w:rPr>
        <w:t>E. 4.2.1</w:t>
      </w:r>
    </w:p>
    <w:p>
      <w:r>
        <w:t>Soweit die Beschwerdeführerin sich zum einen auf den Grundsatz "Eingliederung vor Rente" beruft, verkennt sie, dass darunter auch die Pflicht zur Selbsteingliederung fällt. Als Ausdruck der allgemeinen Schadenminderungspflicht (hierzu siehe Art. 7 Abs. 1 IVG sowie BGE 147 V 187 E. 5.3.1; 141 V 642 E. 4.3.2) hat die versicherte Person gemäss dieser von sich aus das ihr Zumutbare zur Verbesserung der Erwerbsfähigkeit beizutragen. Die Selbsteingliederung geht daher nicht nur dem Renten-, sondern auch dem gesetzlichen Eingliederungsanspruch vor ( BGE 113 V 22 E. 4a; Urteile 8C_326/2022 vom 13. Oktober 2022 E. 7.2.3 und 9C_755/2020 vom 8. März 2021 E. 5.3, je mit Hinweisen). Erst wenn die versicherte Person das prinzipiell vorhandene erwerbliche Potential aus Gründen, die mit dem Gesundheitsschaden zusammenhängen, selbst bei zumutbarer Willensanstrengung nicht in eigener Verantwortung realisieren kann, muss geprüft werden, ob es zur Aktivierung der grundsätzlich gegebenen Arbeitsfähigkeit noch der Durchführung weiterer - der Invalidenversicherung obliegender - Eingliederungsmassnahmen bedarf (Urteil 9C_755/2020 vom 8. März 2021 E. 5.2 mit Hinweisen). Vorliegend kann die Beschwerdeführerin Tätigkeiten, die ihrem Handekzem Rechnung tragen, uneingeschränkt ausüben. Das wird auch von ihrer Seite nicht bestritten. Dennoch hat sie sich ausweislich der Akten im Zeitraum seit ihrem letzten, im September 2017 beendeten Arbeitsverhältnis und dem am 12. März 2020 mit Vertretern der Beschwerdegegnerin geführten Erstgespräch nur an zwei Orten beworben. Dass es dabei auf Grund ihrer Handprobleme nicht zu einer Anstellung gekommen ist, wie von ihr gemutmasst, erscheint, sofern die angestrebten Tätigkeiten ein leidensangepasstes Profil aufwiesen, wenig wahrscheinlich und hätte sie nicht daran hindern dürfen, sich weiter um eine Arbeitsstelle zu bemühen. Es ist vielmehr davon auszugehen, dass hierfür nicht gesundheitliche Gründe verantwortlich zeichnen, sondern in erster Linie die einhellig konstatierten mangelnden Deutschkenntnisse sowie fehlende berufliche Ausbildung und Erfahrung. Diese stellen indessen invaliditätsfremde Aspekte dar. Vermag die Beschwerdeführerin somit nicht darzutun, dass sie die notwendigen Schritte zur Selbsteingliederung unternommen hat, bleibt es bei der vorinstanzlichen Leistungsablehnung. Einer Rückweisung der Angelegenheit an die Beschwerdegegnerin zur Prüfung von beruflichen Vorkehren bedarf es nicht.</w:t>
      </w:r>
    </w:p>
    <w:p>
      <w:r>
        <w:rPr>
          <w:b/>
        </w:rPr>
        <w:t>E. 4.2.2</w:t>
      </w:r>
    </w:p>
    <w:p>
      <w:r>
        <w:t>An diesem Ergebnis ändert die weitere Rüge in der Beschwerde nichts, die Verwaltung habe eine nicht zu schützende Verletzung ihrer Begründungspflicht begangen, indem sie sich im Rahmen ihres Vorbescheids vom 12. Mai 2021 nicht und in ihrer Verfügung vom 14. September 2021 zwar in ablehnendem Sinne, aber ohne nähere explizite Erläuterungen zum Anspruch auf berufliche Eingliederungsmassnahmen geäussert habe. Die Beschwerdeführerin lässt dabei ausser Acht, dass vor Bundesgericht nicht die Verfügung der Beschwerdegegnerin vom 14. September 2021 - und schon gar nicht der vorangegangene Vorbescheid -, sondern das Urteil des Kantonsgerichts Freiburg vom 25. August 2022 auf dem Prüfstand steht. Darin befasste sich die Vorinstanz, was auch in der Beschwerde eingeräumt wird, eingehend mit der im vorinstanzlichen Gerichtsverfahren aufgeworfenen Eingliederungsthematik. Dies zeigt, dass der Beschwerdeführerin eine sachbezogene Anfechtung möglich war (dazu BGE 126 I 97 E. 2b; 124 V 180 E. 1a), sodass der Beschwerdegegnerin keine Verletzung der Begründungspflicht vorzuwerfen ist respektive eine solche durch die - sowohl in Bezug auf den Sachverhalt als auch die Rechtslage über umfassende Überprüfungsbefugnis verfügende - Beschwerdeinstanz ohnehin geheilt worden wäre (vgl. BGE 144 III 394 E. 4.4 ; 133 I 201 E. 2.2).</w:t>
      </w:r>
    </w:p>
    <w:p>
      <w:r>
        <w:t>Es hat damit beim vorinstanzlichen Urteil sein Bewenden.</w:t>
      </w:r>
    </w:p>
    <w:p>
      <w:r>
        <w:rPr>
          <w:b/>
        </w:rPr>
        <w:t>E. 5</w:t>
      </w:r>
    </w:p>
    <w:p>
      <w:r>
        <w:t>Dem Verfahrensausgang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