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9C_467/2012 vom 25. Februar 2013</w:t>
      </w:r>
    </w:p>
    <w:p>
      <w:r>
        <w:t>Bundesgericht, 2013-02-25, FR</w:t>
      </w:r>
    </w:p>
    <w:p>
      <w:r>
        <w:rPr>
          <w:b/>
        </w:rPr>
        <w:t xml:space="preserve">Quelle: </w:t>
      </w:r>
      <w:r>
        <w:t>https://mcp.opencaselaw.ch/entscheid/bger_9C_467_2012</w:t>
      </w:r>
    </w:p>
    <w:p>
      <w:r>
        <w:t>FR: TF 9C_467/2012 du 25 février 2013</w:t>
      </w:r>
    </w:p>
    <w:p>
      <w:r>
        <w:t>IT: TF 9C_467/2012 del 25 febbraio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en l'espèce sur le droit du recourant à une rente d'invalidité dans le contexte d'une nouvelle requête de prestations, singulièrement sur l'appréciation de son état de santé et sur l'évaluation chiffrée de son invalidité, ainsi que sur son droit à des mesures d'ordre professionnel. L'acte attaqué cite correctement les dispositions légales et les principes jurisprudentiels nécessaires à la résolution du litige, de sorte qu'il suffit d'y renvoyer. On précisera néanmoins que le point de savoir s'il convient de recourir à l'Enquête suisse sur la structure des salaires (ESS) dans le cadre d'une comparaison des revenus est une question de droit, de même que la détermination du montant des revenus hypothétiques à comparer lorsque celle-ci repose sur l'expérience générale de la vie, tandis qu'il s'agit d'une question de fait si cette détermination se base sur une appréciation concrète des preuves (cf. ATF 132 V 393 consid. 3.3 p. 399).</w:t>
      </w:r>
    </w:p>
    <w:p>
      <w:r>
        <w:rPr>
          <w:b/>
        </w:rPr>
        <w:t>E. 3.1</w:t>
      </w:r>
    </w:p>
    <w:p>
      <w:r>
        <w:t>L'assuré reproche à la juridiction cantonale de ne pas avoir pris en compte la hernie discale évoquée par le docteur N.________ durant la procédure cantonale. Il estime que les premiers juges ne pouvaient nier ni la préexistence de cette affection à la décision administrative litigieuse ni son impact sur la capacité de travail dès lors que, dans son rapport du 31 mars 2009, le praticien cité faisait clairement remonter la symptomatologie douloureuse à une époque antérieure à la décision attaquée et que, dans son rapport du 30 décembre 2009, il indiquait la nécessité de réaliser une expertise, même si les séquelles de la hernie étaient qualifiées de peu invalidantes. Il considère encore qu'une appréciation globale des effets combinés sur sa capacité de travail de tous les problèmes diagnostiqués fait en l'occurrence défaut.</w:t>
      </w:r>
    </w:p>
    <w:p>
      <w:r>
        <w:rPr>
          <w:b/>
        </w:rPr>
        <w:t>E. 3.2</w:t>
      </w:r>
    </w:p>
    <w:p>
      <w:r>
        <w:t>Cette argumentation ne remet pas en cause le jugement entrepris. On ne peut en effet pas faire grief au tribunal cantonal d'avoir constaté de façon manifestement inexacte la date à laquelle s'étaient manifestées pour la première fois les répercussions de la hernie, en considérant que l'atteinte était vraisemblablement apparue postérieurement à la décision litigieuse, dans la mesure où le docteur N.________ avait signalé à cet égard le mois de janvier 2009 (rapport du 31 mars 2009) ou celui de février 2009 (rapport du 30 décembre 2009), sans vraiment fournir d'éléments déterminants. On ne saurait pas plus reprocher à la juridiction cantonale d'avoir fait preuve d'arbitraire dès lors que l'essentiel de son raisonnement ayant abouti à l'éviction de la hernie repose sur son caractère peu invalidant attesté par le docteur N.________, ainsi que sur les conclusions de celui-ci dans son rapport du 13 octobre 2009 (capacité de travail de l'ordre de 80 à 100% dans une activité n'exigeant pas le port répétitif de charges et permettant l'alternance des positions). Le fait que le praticien cité mentionne dans son courrier du 30 décembre 2009 l'utilité hypothétique - et non la nécessité comme le prétend l'assuré - d'organiser une expertise rhumatologique ne peut rien changer à ce qui précède, pas plus que l'absence de document appréciant l'impact conjugué des atteintes au coude et à la colonne lombaire dans la mesure où la plupart des limitations fonctionnelles afférentes aux deux troubles ainsi que le taux de capacité de travail en résultant se recoupent. Le recourant n'avance du reste aucun argument concret rendant vraisemblable que les cumul desdites affections péjorerait sa capacité de travail.</w:t>
      </w:r>
    </w:p>
    <w:p>
      <w:r>
        <w:rPr>
          <w:b/>
        </w:rPr>
        <w:t>E. 4.1</w:t>
      </w:r>
    </w:p>
    <w:p>
      <w:r>
        <w:t>L'assuré critique également la comparaison des revenus effectuée par les premiers juges.</w:t>
      </w:r>
    </w:p>
    <w:p>
      <w:r>
        <w:rPr>
          <w:b/>
        </w:rPr>
        <w:t>E. 4.2.1</w:t>
      </w:r>
    </w:p>
    <w:p>
      <w:r>
        <w:t>Il soutient d'abord que, compte tenu de son parcours professionnel et du temps écoulé depuis l'époque où il a dû quitter son emploi de man?uvre, ceux-ci auraient dû déterminer le revenu sans invalidité en se référant aux données de l'ESS (TA1, position 45 [construction], niveau 3 [connaissances professionnelles spécialisées], soit en l'occurrence un salaire mensuel de 5'422 fr. qui une fois adapté au renchérissement et à la durée de travail dans les entreprises en 2007 donne un salaire annuel de 68'914 fr. 48) plutôt que de se fonder sur les données collectées en 2001 par l'assureur-accidents concernant le salaire réalisable dans un poste de machiniste (soit en l'occurrence 4'800 fr. payables treize fois par an, indexés jusqu'en 2007, moment considéré comme déterminant pour procéder à la comparaison des revenus eu égard au délai d'attente d'un an dès la survenance de l'incapacité de travail le 31 octobre 2006, ce qui donne un salaire annuel de 67'160 fr. 65).</w:t>
      </w:r>
    </w:p>
    <w:p>
      <w:r>
        <w:rPr>
          <w:b/>
        </w:rPr>
        <w:t>E. 4.2.2</w:t>
      </w:r>
    </w:p>
    <w:p>
      <w:r>
        <w:t>L'argumentation du recourant ne remet pas en question le jugement cantonal. Étant donné que le salaire sans invalidité doit être évalué de la manière la plus concrète possible (cf. notamment ATF 134 V 322 consid. 4.1 p. 325 sv. et les références), comme l'a correctement rappelé le tribunal cantonal, le raisonnement de l'office intimé - fondé sur celui non contesté de l'assureur-accidents et entériné par la juridiction cantonale - n'est pas critiquable dans la mesure où, selon les éléments disponibles, il paraît hautement vraisemblable que, sans l'accident du 7 octobre 1986, l'assuré aurait continuer à travail comme manoeuvre dans la construction. Le recourant ne précise du reste pas en quoi son parcours professionnel et l'écoulement du temps justifieraient d'avoir recours aux données statistiques de l'ESS pour déterminer son revenu sans invalidité.</w:t>
      </w:r>
    </w:p>
    <w:p>
      <w:r>
        <w:rPr>
          <w:b/>
        </w:rPr>
        <w:t>E. 4.3.1</w:t>
      </w:r>
    </w:p>
    <w:p>
      <w:r>
        <w:t>S'il ne conteste pas la référence à l'ESS pour déterminer son revenu d'invalide, l'assuré reproche encore à l'administration et aux premiers juges d'avoir retenu un abattement de seulement 10% à titre de désavantage salarial. Il estime que ce taux est insuffisant en raison de ses compétences professionnelles limitées (singulièrement dans le domaine de la production contrairement à ce qu'affirme le tribunal cantonal), des limitations fonctionnelles retenues et du taux d'occupation réduit en termes de rendement, en plus de son âge et de son degré d'intégration.</w:t>
      </w:r>
    </w:p>
    <w:p>
      <w:r>
        <w:rPr>
          <w:b/>
        </w:rPr>
        <w:t>E. 4.3.2</w:t>
      </w:r>
    </w:p>
    <w:p>
      <w:r>
        <w:t>En l'espèce, la juridiction cantonale a confirmé le taux d'abattement de 10% retenu par l'office intimé en constatant que «le recourant [était] relativement jeune, bien intégré, au bénéfice d'un permis d'établissement, ne démontrant aucune difficulté particulière avec le français selon les experts et disposant d'une longue expérience dans le domaine de la production». Elle a donc considéré que ni l'âge ni la nationalité ni le manque d'expérience dans le domaine de la production ne pouvaient être retenus dans le taux d'abattement. Sur ces points, le jugement entrepris est donc conforme au droit fédéral (cf. ATF 126 V 75 consid. 5b/aa-cc p. 79 sv.). Les considérations de l'assuré relatives à l'inutilité de l'expérience acquise dans le domaine de la production dans des activités de montage, de contrôle ou de conditionnement ne changent rien à ce qui précède dans la mesure où l'absence d'expérience dans certains domaines d'activités n'a que peu d'influence sur la rémunération perçue pour l'accomplissement de tâches simples et répétitives. Il ne saurait par ailleurs soutenir que les limitations fonctionnelles qu'il présente n'ont pas été dûment prises en compte dès lors que celles-ci ont déjà justifié la diminution de rendement unanimement admise. Il apparaît dès lors que les premiers juges n'ont nullement outrepassé le pouvoir d'appréciation dont ils disposent en la matière (cf. notamment ATF 137 V 71 consid. 5 p. 72 et les références).</w:t>
      </w:r>
    </w:p>
    <w:p>
      <w:r>
        <w:rPr>
          <w:b/>
        </w:rPr>
        <w:t>E. 5.1</w:t>
      </w:r>
    </w:p>
    <w:p>
      <w:r>
        <w:t>Le recourant fait enfin grief au tribunal cantonal de lui avoir refusé l'octroi de mesures d'ordre professionnel. Il soutient substantiellement qu'il doit pouvoir bénéficier d'un reclassement dans une nouvelle profession qui lui permettrait de réduire son important préjudice économique avoisinant les 40%.</w:t>
      </w:r>
    </w:p>
    <w:p>
      <w:r>
        <w:rPr>
          <w:b/>
        </w:rPr>
        <w:t>E. 5.2</w:t>
      </w:r>
    </w:p>
    <w:p>
      <w:r>
        <w:t>Cette argumentation n'est pas fondée puisque, eu égard au large éventail d'activités simples et répétitives offert par le secteur de la production ne nécessitant aucune formation autre qu'une mise au courant initiale, il n'est de loin pas irréaliste ou illusoire d'admettre que, compte tenu du fait que les limitations retenues autorisent l'exercice d'une activité industrielle légère avec alternance des positions et de l'expérience professionnelle acquise dans le contrôle des machines, il existe un nombre significatif d'activités adaptées aux atteintes du recourant que celui-ci doit pouvoir exercer sans avoir besoin d'une mesure de reclassement.</w:t>
      </w:r>
    </w:p>
    <w:p>
      <w:r>
        <w:rPr>
          <w:b/>
        </w:rPr>
        <w:t>E. 6</w:t>
      </w:r>
    </w:p>
    <w:p>
      <w:r>
        <w:t>Vu l'issue du litige, les frais judiciaires sont mis à la charge de l'assuré ( art. 66 al. 1 LTF ) qui ne peut prétendre des dépens ( art. 68 al. 1 LTF ). L'assistance judiciaire (portant seulement sur le paiement des frais judiciaires) lui est toutefois octroyée dès lors que les conditions auxquelles l' art. 64 al. 1 et 2 LTF subordonne son attribution sont réalisées. Le recourant est rendu attentif au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