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9C_466/2012 vom 23. Oktober 2012</w:t>
      </w:r>
    </w:p>
    <w:p>
      <w:r>
        <w:t>Bundesgericht, 2012-10-23, FR</w:t>
      </w:r>
    </w:p>
    <w:p>
      <w:r>
        <w:rPr>
          <w:b/>
        </w:rPr>
        <w:t xml:space="preserve">Quelle: </w:t>
      </w:r>
      <w:r>
        <w:t>https://mcp.opencaselaw.ch/entscheid/bger_9C_466_2012</w:t>
      </w:r>
    </w:p>
    <w:p>
      <w:r>
        <w:t>FR: TF 9C_466/2012 du 23 octobre 2012</w:t>
      </w:r>
    </w:p>
    <w:p>
      <w:r>
        <w:t>IT: TF 9C_466/2012 del 23 ottobre 2012</w:t>
      </w:r>
    </w:p>
    <w:p>
      <w:pPr>
        <w:pStyle w:val="Heading2"/>
      </w:pPr>
      <w:r>
        <w:t>Erwägungen</w:t>
      </w:r>
    </w:p>
    <w:p>
      <w:r>
        <w:rPr>
          <w:b/>
        </w:rPr>
        <w:t>E. 1</w:t>
      </w:r>
    </w:p>
    <w:p>
      <w:r>
        <w:t>Le litige porte uniquement sur la question de savoir si - et le cas échéant, depuis quand - l'intimé s'est constitué un domicile dans le canton de Neuchâtel après avoir emménagé dans le home Z.________ à V.________, ce qui - dans l'affirmative - justifierait la compétence territoriale de la recourante pour fixer et verser les prestations complémentaires. Il s'agit d'une question de droit ( art. 95 let. a LTF ) que le Tribunal fédéral examine librement ( art. 106 al. 1 LTF ).</w:t>
      </w:r>
    </w:p>
    <w:p>
      <w:r>
        <w:rPr>
          <w:b/>
        </w:rPr>
        <w:t>E. 2.1</w:t>
      </w:r>
    </w:p>
    <w:p>
      <w:r>
        <w:t>Le Tribunal fédéral a procédé dans l'arrêt publié aux ATF 138 V 23 à une analyse détaillée de l' art. 21 LPC dans sa teneur en vigueur à partir du 1er janvier 2008, applicable en l'espèce en vertu des règles du droit intertemporel. Il est arrivé à la conclusion que le texte de l'art. 21 al. 1 seconde phrase LPC restituait le sens véritable de cette disposition légale. Il s'ensuit que s'agissant des personnes habitant dans un home ou un établissement, le séjour dans l'institution en question ne peut fonder à lui seul une nouvelle compétence territoriale en matière de prestations complémentaires. En revanche, d'autres circonstances déterminant le domicile au sens du droit civil comme point d'attache fondamental restent décisives dans le cadre de l'art. 21 al. 1 première phrase LPC, en particulier le domicile dérivé de l' art. 25 al. 1 ou 2 CC ( ATF 138 V 23 consid. 3.4.6 p. 32).</w:t>
      </w:r>
    </w:p>
    <w:p>
      <w:r>
        <w:rPr>
          <w:b/>
        </w:rPr>
        <w:t>E. 2.2</w:t>
      </w:r>
    </w:p>
    <w:p>
      <w:r>
        <w:t>La jurisprudence initiée dans cet arrêt, sur laquelle il n'y a pas lieu de revenir, a forcément une influence sur l'issue de la procédure: le jugement entrepris ne peut pas être confirmé en tant qu'il admet - par un renversement de la présomption de l' art. 26 CC - que l'intimé s'était constitué un domicile dans le canton de Neuchâtel dans le courant du mois de mai 2008 en s'installant à V.________. En revanche - contrairement à ce qu'affirme la recourante et en dépit de la position défendue par l'OFAS, lequel mentionne l'arrêt publié aux ATF 138 V 23 sans toutefois en tirer les conséquences pour le cas d'espèce -, le jugement entrepris ne peut pas être purement et simplement annulé. Il ressort en effet des pièces figurant au dossier que l'intimé a été placé sous tutelle au sens de l' art. 369 CC par ordonnance de l'Autorité tutélaire du district W.________ du 10 mars 2010. L'intéressé s'est dès lors constitué à partir du 10 mars 2010 un domicile, déterminant du point de vue du droit aux prestations complémentaires, dans le canton de Neuchâtel ce qui fonde la compétence, à compter de cette date, de la caisse recourante pour fixer et verser des prestations complémentaires. Une telle compétence doit en revanche être niée pour la période antérieure parce que, comme on l'a dit plus haut, l'emménagement dans le home à Z.________ ne peut en aucun cas être à lui seul constitutif d'un nouveau domicile et parce que l'instauration, par décision du 23 juin 2009, d'une curatelle volontaire au sens de l' art. 394 CC n'a pas eu d'influence sur le domicile de l'intimé ( ATF 126 III 415 consid. 2c p. 419; 94 II 220 consid. 5 p. 227 s.; arrêt 9C_214/2012 du 22 octobre 2012 consid. 2.2; DANIEL STAEHLIN, in Basler Kommentar, Zivilgesetzbuch I, 4ème éd. 2010, n° 11 ad art. 25 CC ).</w:t>
      </w:r>
    </w:p>
    <w:p>
      <w:r>
        <w:rPr>
          <w:b/>
        </w:rPr>
        <w:t>E. 3</w:t>
      </w:r>
    </w:p>
    <w:p>
      <w:r>
        <w:t>Il suit de ce qui précède que le recours est partiellement bien fondé. Les frais judiciaires sont mis par moitié à charge de chacune des parties. La recourante versera à l'intimé des dépens réduits, d'un montant de 1'400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