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465/2022 vom 1. März 2023</w:t>
      </w:r>
    </w:p>
    <w:p>
      <w:r>
        <w:t>Bundesgericht, 2023-03-01, FR</w:t>
      </w:r>
    </w:p>
    <w:p>
      <w:r>
        <w:rPr>
          <w:b/>
        </w:rPr>
        <w:t xml:space="preserve">Quelle: </w:t>
      </w:r>
      <w:r>
        <w:t>https://mcp.opencaselaw.ch/entscheid/bger_9C_465_2022</w:t>
      </w:r>
    </w:p>
    <w:p>
      <w:r>
        <w:t>FR: TF 9C 465/2022 du 1 mars 2023</w:t>
      </w:r>
    </w:p>
    <w:p>
      <w:r>
        <w:t>IT: TF 9C 465/2022 del 1 marzo 2023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 juridiction de première instance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w:t>
      </w:r>
    </w:p>
    <w:p>
      <w:r>
        <w:rPr>
          <w:b/>
        </w:rPr>
        <w:t>E. 3.1</w:t>
      </w:r>
    </w:p>
    <w:p>
      <w:r>
        <w:t>Le litige porte sur le droit de l'assurée à une rente de l'assurance-invalidité, dans le cadre de la nouvelle demande de prestations déposée en novembre 2017 (cf. art. 17 al. 1 LPGA , applicable par analogie, en lien avec l' art. 87 al. 2 et 3 RAI ; voir aussi ATF 133 V 108 consid. 5; 130 V 343 consid. 3.5; 130 V 71 ).</w:t>
      </w:r>
    </w:p>
    <w:p>
      <w:r>
        <w:rPr>
          <w:b/>
        </w:rPr>
        <w:t>E. 3.2</w:t>
      </w:r>
    </w:p>
    <w:p>
      <w:r>
        <w:t>L'arrêt attaqué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et à son évaluation ( art. 16 LPGA et art. 28a LAI ), en particulier s'agissant du caractère invalidant de troubles psychosomatiques ou psychiques ( ATF 143 V 409 ; 143 V 418 ; 141 V 281 ). Il rappelle également les règles applicables à la libre appréciation des preuves ( art. 61 let . c LPGA) et à la valeur probante des rapports médicaux ( ATF 134 V 231 consid. 5.1; 125 V 351 consid. 3). Il suffit d'y renvoyer.</w:t>
      </w:r>
    </w:p>
    <w:p>
      <w:r>
        <w:rPr>
          <w:b/>
        </w:rPr>
        <w:t>E. 4</w:t>
      </w:r>
    </w:p>
    <w:p>
      <w:r>
        <w:t>Examinant l'évolution de l'état de santé de la recourante depuis la dernière décision entrée en force et reposant sur un examen matériel du droit à la rente (décision sur opposition du 3 mars 2006), les premiers juges sont parvenus à la conclusion que l'intéressée pouvait toujours exercer son activité antérieure ou une activité adaptée à plein temps sans limitation, ainsi que ses tâches ménagères avec les limitations reconnues précédemment (22% d'empêchement). Partant, ils ont nié que son état de santé se fût aggravé dans une mesure influençant ses droits depuis 2006.</w:t>
      </w:r>
    </w:p>
    <w:p>
      <w:r>
        <w:rPr>
          <w:b/>
        </w:rPr>
        <w:t>E. 5.1</w:t>
      </w:r>
    </w:p>
    <w:p>
      <w:r>
        <w:t>A l'appui de son recours, l'assurée se prévaut d'un établissement manifestement inexact des faits et d'une violation des art. 6 et 7 LPGA , ainsi que de l' art. 28 al. 2 LAI . Elle reproche en substance à la juridiction de première instance d'avoir nié le caractère invalidant des atteintes à la santé qu'elle présente et fait valoir qu'il n'y a pas de doute quant à son "manque de capacité de gain".</w:t>
      </w:r>
    </w:p>
    <w:p>
      <w:r>
        <w:rPr>
          <w:b/>
        </w:rPr>
        <w:t>E. 5.2</w:t>
      </w:r>
    </w:p>
    <w:p>
      <w:r>
        <w:t>Contrairement à ce qu'allègue en premier lieu l'assurée, il n'est pas contesté qu'elle est atteinte de fibromyalgie et d'importantes autres pathologies. La juridiction de première instance a en effet rappelé qu'elle avait déjà constaté que l'intéressée souffrait notamment de polyarthrose modérée, d'une scoliose dorso-lombaire et d'une fibromyalgie dans l'arrêt qu'elle avait rendu le 22 avril 2008 et que ses constatations avaient été confirmées par le Tribunal fédéral (arrêt 9C_486/2008 du 8 janvier 2009 consid. 3). Par ailleurs, en ce qu'elle croit pouvoir déduire du seul fait qu'elle serait atteinte d'une maladie psychique le droit à des prestations de l'assurance-invalidité, la recourante méconnaît la notion d'invalidité. L'élément déterminant réside bien plutôt dans le point de savoir si sa capacité de travail est, d'une façon ou d'une autre, entravée par des troubles psychiques ou par d'autres troubles somatiques. Or toute son argumentation s'épuise dans la démonstration - vaine, en l'absence d'incapacité de travail attestée - qu'elle est atteinte d'une maladie psychique.</w:t>
      </w:r>
    </w:p>
    <w:p>
      <w:r>
        <w:rPr>
          <w:b/>
        </w:rPr>
        <w:t>E. 5.3</w:t>
      </w:r>
    </w:p>
    <w:p>
      <w:r>
        <w:t>C'est également à tort que la recourante se prévaut d'une nouvelle atteinte à la santé sous la forme d'un trouble de l'adaptation en réaction à une pathologie organique (CIM-10 F43.2), en se référant au rapport du docteur C.________, psychiatre auprès de l'Institut D.________ en Espagne, du 14 juin 2018. Cette atteinte à la santé ne peut en effet pas être considérée comme une maladie de longue durée et donc potentiellement invalidante (cf. arrêts 9C_210/2017 du 2 mai 2017 consid. 3.2; 9C_87/2017 du 16 mars 2017 et la référence), comme l'ont dûment exposé les premiers juges.</w:t>
      </w:r>
    </w:p>
    <w:p>
      <w:r>
        <w:rPr>
          <w:b/>
        </w:rPr>
        <w:t>E. 5.4</w:t>
      </w:r>
    </w:p>
    <w:p>
      <w:r>
        <w:t>L'assurée ne peut pas davantage être suivie lorsqu'elle reproche à l'instance précédente de n'avoir pas tenu compte du fait que les docteurs E.________, spécialiste en médecine interne générale, et B.________, tous deux médecins au Service médical de l'office intimé, n'étaient pas unanimes quant à sa capacité de travail dans le cadre de l'examen de sa deuxième demande de prestations. Quoi qu'elle en dise, dans l'arrêt 9C_486/2008 du 8 janvier 2009, qui a acquis force de chose jugée (cf. art. 61 LTF ), la Cour de céans a en effet considéré que le Tribunal administratif fédéral avait dûment expliqué (dans l'arrêt qu'il avait rendu le 22 avril 2008) les raisons qui le conduisaient à suivre l'avis du docteur E.________, selon lequel la recourante était capable d'exercer son ancienne activité ou toute autre activité adaptée dans une mesure excluant le droit à une rente d'invalidité (avis du 6 février 2006), plutôt que celui de son confrère B.________, qui avait fait état d'une incapacité de travail de 60% dans une activité lucrative (avis des 4 avril et 27 juin 2005).</w:t>
      </w:r>
    </w:p>
    <w:p>
      <w:r>
        <w:rPr>
          <w:b/>
        </w:rPr>
        <w:t>E. 5.5</w:t>
      </w:r>
    </w:p>
    <w:p>
      <w:r>
        <w:t>C'est finalement en vain que la recourante se prévaut d'une "problématique d'engrenage des conceptions de la typologie de la fibromyalgie et [du] syndrome de fatigue chronique entre l'Espagne et la Suisse" et qu'elle se réfère à une décision rendue le 22 décembre 2006 par un magistrat "del Jutjat Social nùméro 25 de Barcelona" (par laquelle elle a été reconnue "en situation d'incapacité permanente absolue" et mise au bénéfice de la prestation correspondante), ainsi qu'à une décision du 7 juillet 2008 du "Tribunal superior de justìcia Catalunya sala social" (par laquelle il a admis le recours formé contre la décision du 22 décembre 2006 par l'Institut national de la Sécurité sociale espagnole). Indépendamment de la question de leur recevabilité selon l' art. 99 al. 1 LTF , ces pièces ne sont en effet pas pertinentes pour l'issue du présent litige, parce que la reconnaissance par les autorités espagnoles compétentes d'une "incapacité permanente absolue" n'aurait pas d'influence sur l'examen du droit à une rente de l'assurance-invalidité suisse. Au consid. 1.2 de l'arrêt 9C_486/2008, la Cour de céans a en effet déjà rappelé à la recourante que le degré d'invalidité d'un assuré qui prétend une telle prestation est déterminé exclusivement d'après le droit suisse, même lorsque, comme en l'espèce, les dispositions de l'Accord du 21 juin 1999 entre la Confédération suisse, d'une part, et la Communauté européenne et ses Etats membres, d'autre part, sur la libre circulation des personnes (ALCP; RS 0.142.112.681) sont applicables à la contestation devant les autorités suisses ( ATF 130 V 253 consid. 2.4). Le recours est mal fondé.</w:t>
      </w:r>
    </w:p>
    <w:p>
      <w:r>
        <w:rPr>
          <w:b/>
        </w:rPr>
        <w:t>E. 6</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