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9C_464/2019 vom 18. Oktober 2019</w:t>
      </w:r>
    </w:p>
    <w:p>
      <w:r>
        <w:t>Bundesgericht, 2019-10-18, IT</w:t>
      </w:r>
    </w:p>
    <w:p>
      <w:r>
        <w:rPr>
          <w:b/>
        </w:rPr>
        <w:t xml:space="preserve">Quelle: </w:t>
      </w:r>
      <w:r>
        <w:t>https://mcp.opencaselaw.ch/entscheid/bger_9C_464_2019</w:t>
      </w:r>
    </w:p>
    <w:p>
      <w:r>
        <w:t>FR: TF 9C_464/2019 du 18 octobre 2019</w:t>
      </w:r>
    </w:p>
    <w:p>
      <w:r>
        <w:t>IT: TF 9C_464/2019 del 18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 patrocinata dall'avv. Stefano Pizzola,</w:t>
      </w:r>
    </w:p>
    <w:p>
      <w:r>
        <w:rPr>
          <w:b/>
        </w:rPr>
        <w:t>E. 2</w:t>
      </w:r>
    </w:p>
    <w:p>
      <w:r>
        <w:t>C.________, patrocinato dall'avv. Stefano Pizzola,</w:t>
      </w:r>
    </w:p>
    <w:p>
      <w:r>
        <w:rPr>
          <w:b/>
        </w:rPr>
        <w:t>E. 3</w:t>
      </w:r>
    </w:p>
    <w:p>
      <w:r>
        <w:t>Comunicazione alle parti, a B.________, a C.________, a D.________, al Tribunale delle assicurazioni del Cantone Ticino e all'Ufficio federale delle assicurazioni sociali.</w:t>
      </w:r>
    </w:p>
    <w:p>
      <w:r>
        <w:t>Lucerna, 18 ottobre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