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9C_464/2012 vom 5. November 2012</w:t>
      </w:r>
    </w:p>
    <w:p>
      <w:r>
        <w:t>Bundesgericht, 2012-11-05, FR</w:t>
      </w:r>
    </w:p>
    <w:p>
      <w:r>
        <w:rPr>
          <w:b/>
        </w:rPr>
        <w:t xml:space="preserve">Quelle: </w:t>
      </w:r>
      <w:r>
        <w:t>https://mcp.opencaselaw.ch/entscheid/bger_9C_464_2012</w:t>
      </w:r>
    </w:p>
    <w:p>
      <w:r>
        <w:t>FR: TF 9C_464/2012 du 5 novembre 2012</w:t>
      </w:r>
    </w:p>
    <w:p>
      <w:r>
        <w:t>IT: TF 9C_464/2012 del 5 novembre 2012</w:t>
      </w:r>
    </w:p>
    <w:p>
      <w:pPr>
        <w:pStyle w:val="Heading2"/>
      </w:pPr>
      <w:r>
        <w:t>Erwägungen</w:t>
      </w:r>
    </w:p>
    <w:p>
      <w:r>
        <w:rPr>
          <w:b/>
        </w:rPr>
        <w:t>E. 1</w:t>
      </w:r>
    </w:p>
    <w:p>
      <w:r>
        <w:t>Le présent litige porte sur le degré d'invalidité du recourant.</w:t>
      </w:r>
    </w:p>
    <w:p>
      <w:r>
        <w:t>Le jugement entrepris expose correctement les dispositions légales et les principes jurisprudentiels applicables à la solution du cas, de sorte qu'il suffit d'y renvoyer.</w:t>
      </w:r>
    </w:p>
    <w:p>
      <w:r>
        <w:rPr>
          <w:b/>
        </w:rPr>
        <w:t>E. 2.1</w:t>
      </w:r>
    </w:p>
    <w:p>
      <w:r>
        <w:t>Le recourant reproche au Tribunal administratif fédéral de n'avoir pas vérifié si la suppression de la prime d'équipe mensuelle de 1'124 fr. était en lien avec son état de santé ou si elle résultait plutôt de motifs économiques. A son avis, cette perte serait la conséquence directe des restrictions imposées pour des raisons médicales qui lui ôteraient la flexibilité nécessaire pour continuer à travailler selon les anciens horaires de service et donc la possibilité de bénéficier de la prime d'équipe.</w:t>
      </w:r>
    </w:p>
    <w:p>
      <w:r>
        <w:rPr>
          <w:b/>
        </w:rPr>
        <w:t>E. 2.2</w:t>
      </w:r>
    </w:p>
    <w:p>
      <w:r>
        <w:t>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(arrêt 9C_602/2009 du 21 décembre 2009, consid. 4.1). D'après le principe de la priorité de la réadaptation sur la rente,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[SVR 2011 IV n° 30 p. 88]).</w:t>
      </w:r>
    </w:p>
    <w:p>
      <w:r>
        <w:t>Dans le cas d'espèce, la mesure de réadaptation a été couronnée de succès, dès lors que le recourant a pu réintégrer sa place de travail et conserver son ancien salaire. La question de savoir si le recourant a subi une perte de gain par la suppression de la prime d'équipe peut toutefois demeurer ouverte. En effet, même en tenant compte de cette suppression, on parviendrait à un degré d'invalidité de 13 % (résultant de la comparaison d'un salaire mensuel sans invalidité 8'617 fr. avec un gain d'invalide de 7'493 fr.), soit un taux largement inférieur au seuil de 40 % ouvrant droit à la rente ( art. 28 al. 2 LAI ), voire à celui de 20 % environ nécessaire pour bénéficier d'une mesure de reclassement ( ATF 130 V 488 ). Dans ce contexte, le taux d'invalidité de 48,4 % (calculé le 16 février 2009) n'a aucune incidence pour l'issue du litige, dès lors que la mesure professionnelle n'avait pas encore débuté (cf. art. 16 LPGA ) et que les conditions de l' art. 28 al. 1 LAI n'étaient pas réalisées.</w:t>
      </w:r>
    </w:p>
    <w:p>
      <w:r>
        <w:rPr>
          <w:b/>
        </w:rPr>
        <w:t>E. 3.1</w:t>
      </w:r>
    </w:p>
    <w:p>
      <w:r>
        <w:t>Dans un autre moyen, le recourant estime qu'il est choquant que l'autorité précédente n'ait pas pris en compte la perte économique qu'il aurait subie dans l'éventualité où il n'aurait pas déployé d'efforts pour éviter de perdre sa place de travail chez X.________ S. A. Il souligne que son engagement et sa volonté de conserver son emploi lui ont permis de ne pas être mis au bénéfice de la rente fondée sur le degré d'invalidité de 48,4 % calculé avant l'achèvement de la mesure de réinsertion.</w:t>
      </w:r>
    </w:p>
    <w:p>
      <w:r>
        <w:rPr>
          <w:b/>
        </w:rPr>
        <w:t>E. 3.2</w:t>
      </w:r>
    </w:p>
    <w:p>
      <w:r>
        <w:t>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 ATF 138 I 205 consid. 3.2 p. 209).</w:t>
      </w:r>
    </w:p>
    <w:p>
      <w:r>
        <w:t>En l'espèce, le recourant a pleinement satisfait à son obligation de réduire le dommage et ne subit plus de perte de gain susceptible de justifier l'octroi de prestations de l'AI, que ce soit une rente ou un reclassement. Il s'ensuit que le versement d'une rente, que l'on pourrait assimiler à une forme de "récompense", viderait le principe de l'obligation de réduire le dommage de son sens et procéderait d'une violation manifeste de la lettre et de l'esprit de la loi ( art. 16 LPGA et 28 al. 2 LAI).</w:t>
      </w:r>
    </w:p>
    <w:p>
      <w:r>
        <w:rPr>
          <w:b/>
        </w:rPr>
        <w:t>E. 4</w:t>
      </w:r>
    </w:p>
    <w:p>
      <w:r>
        <w:t>Vu ce qui précède, il n'y a pas lieu de s'écarter du jugement du Tribunal administratif fédéral ni de lui renvoyer la cause pour qu'il complète l'instruction et statue à nouveau.</w:t>
      </w:r>
    </w:p>
    <w:p>
      <w:r>
        <w:rPr>
          <w:b/>
        </w:rPr>
        <w:t>E. 5</w:t>
      </w:r>
    </w:p>
    <w:p>
      <w:r>
        <w:t>Compte tenu de l'issue du litige, les frais judiciaires sont mis à la charge du recourant ( art. 66 al. 1 LTF ) qui ne saurait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