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9C_463/2010 vom 24. Juni 2010</w:t>
      </w:r>
    </w:p>
    <w:p>
      <w:r>
        <w:t>Bundesgericht, 2010-06-24, DE</w:t>
      </w:r>
    </w:p>
    <w:p>
      <w:r>
        <w:rPr>
          <w:b/>
        </w:rPr>
        <w:t xml:space="preserve">Quelle: </w:t>
      </w:r>
      <w:r>
        <w:t>https://mcp.opencaselaw.ch/entscheid/bger_9C_463_2010</w:t>
      </w:r>
    </w:p>
    <w:p>
      <w:r>
        <w:t>FR: TF 9C_463/2010 du 24 juin 2010</w:t>
      </w:r>
    </w:p>
    <w:p>
      <w:r>
        <w:t>IT: TF 9C_463/2010 del 24 giugno 2010</w:t>
      </w:r>
    </w:p>
    <w:p>
      <w:pPr>
        <w:pStyle w:val="Heading2"/>
      </w:pPr>
      <w:r>
        <w:t>Erwägungen</w:t>
      </w:r>
    </w:p>
    <w:p>
      <w:r>
        <w:rPr>
          <w:b/>
        </w:rPr>
        <w:t>E. 1.1</w:t>
      </w:r>
    </w:p>
    <w:p>
      <w:r>
        <w:t>Feststellungen über innere oder psychische Tatsachen - wie z.B. was jemand wollte, wusste, beabsichtigte, in Kauf nahm, womit er rechnete, in welcher Absicht und aus welchen Beweggründen er handelte oder hypothetisch gehandelt hätte, ob er volle Einsicht in sein Handeln hatte - sind Sachverhaltsfragen ( BGE 130 IV 58 E. 8.5 S. 62). Das Bundesgericht hat seinem Urteil den Sachverhalt zugrunde zu legen,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und Art. 105 Abs. 2 BGG ).</w:t>
      </w:r>
    </w:p>
    <w:p>
      <w:r>
        <w:rPr>
          <w:b/>
        </w:rPr>
        <w:t>E. 1.2</w:t>
      </w:r>
    </w:p>
    <w:p>
      <w:r>
        <w:t>Rechtsfrage und vom Bundesgericht frei überprüfbar ist hingegen der Schluss aus einem bestimmten Geisteszustand (Tatfrage) auf das Vorhandensein oder Fehlen der Urteilsfähigkeit, soweit dies vom Begriff der Urteilsfähigkeit selbst abhängt bzw. von der allgemeinen Lebenserfahrung oder vom hohen Grad der Wahrscheinlichkeit, der für den Ausschluss dieser Fähigkeit erforderlich ist ( BGE 124 III 5 E. 4 Ingress S. 13, 111 V 58 E. 3c S. 62; Urteile 5P.39/2004 vom 6. Oktober 2004, E. 4.3, und K 125/98 vom 3. Mai 1999, E. 3c; ULRICH MEYER, in: Niggli/Uebersatz/Wiprächtiger [Hrsg.], Basler Kommentar, Bundesgerichtsgesetz, Basel 2008, Art. 105 N 35 d).</w:t>
      </w:r>
    </w:p>
    <w:p>
      <w:r>
        <w:rPr>
          <w:b/>
        </w:rPr>
        <w:t>E. 1.3</w:t>
      </w:r>
    </w:p>
    <w:p>
      <w:r>
        <w:t>Nach der Rechtsprechung muss der Rückzug eines Rechtsmittels klar, ausdrücklich und unbedingt erfolgen ( BGE 119 V 36 E. 1b S. 38 mit Hinweis). Er ist unwiderruflich, und seine Gültigkeit kann nur auf Willensmängel hin geprüft werden ( BGE 111 V 156 E. 3a S. 158, 109 V 234 E. 3 S. 237).</w:t>
      </w:r>
    </w:p>
    <w:p>
      <w:r>
        <w:rPr>
          <w:b/>
        </w:rPr>
        <w:t>E. 2</w:t>
      </w:r>
    </w:p>
    <w:p>
      <w:r>
        <w:t>Angefochten und zu überprüfen ist der vorinstanzliche Abschreibungsbeschluss vom 28. April 2010. Die Beschwerdeführerin bringt vor, das Schreiben vom 27. April 2010, auf das sich die Vorinstanz abgestützt hat, sei die Folge mehrerer Telefonate gewesen, in welchen ihr Rechtsberater den Rückzug empfohlen habe. Wegen sprachlicher Schwierigkeiten sei sie davon ausgegangen, es sei richtig. Erst nachträglich habe ihr ein Bekannter erörtert, was der Rückzug inhaltlich bedeute. Sie habe feststellen müssen, dass der Beschwerderückzug nicht ihrem Willen entsprochen habe. Sie sei nun ganz und gar nicht damit einverstanden.</w:t>
      </w:r>
    </w:p>
    <w:p>
      <w:r>
        <w:rPr>
          <w:b/>
        </w:rPr>
        <w:t>E. 3</w:t>
      </w:r>
    </w:p>
    <w:p>
      <w:r>
        <w:t>Die vorinstanzliche Erklärung der Beschwerdeführerin vom 27. April 2010 entspricht den in E. 1.3 genannten Gültigkeitsvoraussetzungen. Sie bekundete darin vorbehaltlos den klaren Willen, das Verfahren abschliessen zu wollen. Sie bringt nichts vor, was ein Rückkommen auf diese Prozesserklärung rechtfertigen würde. Der Rückzug war durch keine missverständliche behördliche Handlung oder Auskunft provoziert worden, und es ist auch nicht erkennbar, inwiefern er auf einen Willensmangel zurückzuführen wäre. Denn dass die Beschwerdeführerin nach einem Gespräch mit einem Bekannten auf ihren Entschluss zurückkommen wollte, zeigt lediglich, dass sie sich die Sache anders überlegt hat. Ebenso fehlen Anhaltspunkte für Urteilsunfähigkeit bei der Abgabe der Erklärung des Beschwerderückzuges. Blosser Wankelmut genügt nicht (MARGRITH BIGLER-EGGENBERGER, in: Honsell/Vogt/ Geiser [Hrsg.], Basler Kommentar ZGB, 3. Aufl., 2006, Art. 16 ZGB N 12). Vielmehr bedarf es einer Willensschwäche, sich kritiklos einen fremden Willen zu eigen zu machen. Eine solche Willensschwäche ist nicht ersichtlich. Insbesondere fehlen ärztliche Berichte, welche eine Urteilsunfähigkeit für den Zeitpunkt des Beschwerderückzugs vom 27. April 2010 bescheinigen. Nach den ärztlichen Unterlagen hatte die Beschwerdeführerin im betreffenden Zeitraum gesundheitliche Probleme, es finden sich jedoch keinerlei Hinweise dafür, dass die Urteils- und Prozessfähigkeit nicht gegeben gewesen wären.</w:t>
      </w:r>
    </w:p>
    <w:p>
      <w:r>
        <w:rPr>
          <w:b/>
        </w:rPr>
        <w:t>E. 4</w:t>
      </w:r>
    </w:p>
    <w:p>
      <w:r>
        <w:t>Dem Ausgang des Verfahrens entsprechend sind die Gerichtskosten der Beschwerdeführerin aufzuerlegen ( Art. 66 Abs. 1 BGG ).</w:t>
      </w:r>
    </w:p>
    <w:p>
      <w:r>
        <w:rPr>
          <w:b/>
        </w:rPr>
        <w:t>E. 5</w:t>
      </w:r>
    </w:p>
    <w:p>
      <w:r>
        <w:t>Die Beschwerde hatte keine Aussicht auf Erfolg, weshalb sie im vereinfachten Verfahren nach Art. 109 BGG ohne Durchführung des Schriftenwechsels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