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9C_463/2008 vom 30. April 2009</w:t>
      </w:r>
    </w:p>
    <w:p>
      <w:r>
        <w:t>Bundesgericht, 2009-04-30, DE</w:t>
      </w:r>
    </w:p>
    <w:p>
      <w:r>
        <w:rPr>
          <w:b/>
        </w:rPr>
        <w:t xml:space="preserve">Quelle: </w:t>
      </w:r>
      <w:r>
        <w:t>https://mcp.opencaselaw.ch/entscheid/bger_9C_463_2008</w:t>
      </w:r>
    </w:p>
    <w:p>
      <w:r>
        <w:t>FR: TF 9C_463/2008 du 30 avril 2009</w:t>
      </w:r>
    </w:p>
    <w:p>
      <w:r>
        <w:t>IT: TF 9C_463/2008 del 30 aprile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entwickelt haben (Urteil I 692/06 vom 19. Dezember 2006, E. 3.1). Neue Tatsachen und Beweismittel dürfen im Verfahren vor Bundesgericht nur so weit vorgebracht werden, als erst der Entscheid der Vorinstanz dazu Anlass gibt ( Art. 99 Abs. 1 BGG ).</w:t>
      </w:r>
    </w:p>
    <w:p>
      <w:r>
        <w:rPr>
          <w:b/>
        </w:rPr>
        <w:t>E. 2.1</w:t>
      </w:r>
    </w:p>
    <w:p>
      <w:r>
        <w:t>Bei der Auslegung sozialversicherungsrechtlicher Leistungsnormen sowie bei der Ermessensausübung ist den Grundrechten und verfassungsmässigen Grundsätzen Rechnung zu tragen, soweit dies im Rahmen von Art. 190 BV , wonach Bundesgesetze und Völkerrecht für das Bundesgericht und die anderen rechtsanwendenden Behörden massgebend sind, möglich ist ( BGE 134 I 105 E. 6 S. 110 mit Hinweisen).</w:t>
      </w:r>
    </w:p>
    <w:p>
      <w:r>
        <w:rPr>
          <w:b/>
        </w:rPr>
        <w:t>E. 2.2</w:t>
      </w:r>
    </w:p>
    <w:p>
      <w:r>
        <w:t>Völkerrechtlich zu beachten sind die Bestimmungen des Internationalen Paktes der Vereinten Nationen über wirtschaftliche, soziale und kulturelle Rechte vom 16. Dezember 1966 (UNO-Pakt I; SR 0.103.1). Die in BGE 120 Ia 1 E. 5 begründete Rechtsprechung, wonach der UNO-Pakt I grundsätzlich keine direkt anwendbaren Individualgarantien enthält, wurde vom Eidgenössischen Versicherungsgericht in BGE 121 V 229 E. 3 S. 232 ff. und 246 E. 2 S. 248 ff. für den Bereich des Sozialversicherungsrechts bestätigt. In BGE 123 II 472 E. 4d S. 478 betonte das Bundesgericht, dass das Diskriminierungsverbot von Art. 2 Abs. 2 UNO-Pakt I insoweit akzessorisch ist, als es einer Stütznorm im Sozialpakt selber bedarf. Art. 9 UNO-Pakt I ist danach programmatischer Natur ("Die Vertragsstaaten erkennen das Recht eines jeden auf Soziale Sicherheit an; diese schliesst die Sozialversicherung ein") und präzisiert den Inhalt der sozialen Sicherheit nicht (BBl 1994 V 52); es findet sich dort keine direkte Anspruchsgrundlage für das hier strittige Hilfsmittel (Urteil 8C_295/2008 vom 22. November 2008, E. 6).</w:t>
      </w:r>
    </w:p>
    <w:p>
      <w:r>
        <w:rPr>
          <w:b/>
        </w:rPr>
        <w:t>E. 2.3</w:t>
      </w:r>
    </w:p>
    <w:p>
      <w:r>
        <w:t>Verfassungsrechtlich verbietet Art. 8 Abs. 2 BV die Diskriminierung namentlich auch wegen einer körperlichen, geistigen oder psychischen Behinderung, verbürgt jedoch keinen individualrechtlichen, gerichtlich durchsetzbaren Anspruch auf Herstellung faktischer Gleichheit ( BGE 134 I 105 E. 5 S. 108 mit Hinweisen). Die Bedeutung der Bundesverfassung als Rechts- und Inspirationsquelle für die Anwendung des Sozialversicherungsrechts liegt vor allem in der verfassungskonformen (oder verfassungsbezogenen) Interpretation. Demgemäss ist - sofern durch den Wortlaut (und die weiteren massgeblichen normunmittelbaren Auslegungselemente) nicht klar ausgeschlossen - der bundesgesetzlichen Norm jener Rechtssinn beizumessen, welcher mit der Verfassung (am besten) übereinstimmt (ULRICH MEYER, Allgemeine Einführung, in: Ulrich Meyer [Hrsg.] Schweizerisches Bundesverwaltungsrecht [SBVR], Band XIV, Soziale Sicherheit 2. Aufl., Basel 2007, S. 52, Rz. 61).</w:t>
      </w:r>
    </w:p>
    <w:p>
      <w:r>
        <w:rPr>
          <w:b/>
        </w:rPr>
        <w:t>E. 3.1</w:t>
      </w:r>
    </w:p>
    <w:p>
      <w:r>
        <w:t>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 Art. 21 Abs. 2 IVG ).</w:t>
      </w:r>
    </w:p>
    <w:p>
      <w:r>
        <w:rPr>
          <w:b/>
        </w:rPr>
        <w:t>E. 3.2</w:t>
      </w:r>
    </w:p>
    <w:p>
      <w:r>
        <w:t>Der Bundesrat hat in Art. 14 IVV dem Eidgenössischen Departement des Innern den Auftrag übertragen, die Liste der in Art. 21 IVG vorgesehenen Hilfsmittel zu erstellen. Laut Art. 2 HVI besteht im Rahmen der im Anhang angeführten Liste Anspruch auf Hilfsmittel, soweit diese für die Fortbewegung, die Herstellung des Kontaktes mit der Umwelt oder für die Selbstsorge notwendig sind (Abs. 1). Die im Anhang zur HVI enthaltene Liste ist insofern abschliessend, als sie die in Frage kommenden Hilfsmittelkategorien aufzählt ( Art. 21 IVG ; vgl. Art. 2 Abs. 1 HVI ; BGE 131 V 9 E. 3.4.2 S. 14 f.).</w:t>
      </w:r>
    </w:p>
    <w:p>
      <w:r>
        <w:rPr>
          <w:b/>
        </w:rPr>
        <w:t>E. 3.3</w:t>
      </w:r>
    </w:p>
    <w:p>
      <w:r>
        <w:t>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w:t>
      </w:r>
    </w:p>
    <w:p>
      <w:r>
        <w:rPr>
          <w:b/>
        </w:rPr>
        <w:t>E. 4</w:t>
      </w:r>
    </w:p>
    <w:p>
      <w:r>
        <w:t>Es steht fest, dass die hier zur Diskussion stehende elektrische Schub- oder Zughilfe für einen gewöhnlichen Rollstuhl - der Sache nach - funktionell als Elektrorollstuhl im Sinne von Ziff. 9.02 HVI-Anhang zu behandeln ist und die Beschwerdeführerin die Anspruchsvoraussetzungen für die Abgabe eines Rollstuhls ohne motorischen Antrieb erfüllt. Streitig ist, ob sie Anspruch auf die Motorhilfe für ihren Rollstuhl hat.</w:t>
      </w:r>
    </w:p>
    <w:p>
      <w:r>
        <w:rPr>
          <w:b/>
        </w:rPr>
        <w:t>E. 4.1</w:t>
      </w:r>
    </w:p>
    <w:p>
      <w:r>
        <w:t>Die Hilfsmittelversorgung unterliegt den allgemeinen Anspruchsvoraussetzungen gemäss Art. 8 IVG (Geeignetheit, Erforderlichkeit, Eingliederungswirksamkeit; BGE 122 V 212 E. 2c S. 214). Anspruch auf einen Elektrorollstuhl besteht, wenn dieser für die Fortbewegung, die Herstellung des Kontakts mit der Umweit oder für die Selbstsorge notwendig ist. Die Selbstständigkeit in der Fortbewegung mit einem elektromotorisch angetriebenen Rollstuhl ist Eingliederungsziel und Voraussetzung für die Abgabe eines Elektrofahrstuhls an die versicherte Person ( BGE 121 V 258 E. 3b/bb S. 261 f., ZAK 1988 S. 181 E. 2a, je mit Hinweisen). Der Eingliederungsbereich umfasst die selbstständige Verschiebung im häuslichen Bereich wie auch ausserhalb des Hauses (Urteile I 712/04 vom 13. Oktober 2005 [E. 2.3], I 298/01 vom 15. Februar 2002 [E. 1c], I 340/93 vom 25. Mai 1994 [E. 2b], I 269/90 vom 25. März 1991 [E. 2b]). Anspruch auf die Abgabe eines Elektrorollstuhls haben Versicherte, die einen gewöhnlichen Fahrstuhl nicht bedienen und sich nur dank elektromotorischem Antrieb fortbewegen können (Ziff. 9.02 HVI-Anhang). Sind die Anspruchsvoraussetzungen für die Abgabe eines Elektrorollstuhls erfüllt, kann auf Wunsch der Versicherten anstelle eines solchen ein batteriebetriebener Hilfsantrieb für einen gewöhnlichen Rollstuhl abgegeben werden (Kreisschreiben des Bundesamtes für Sozialversicherungen über die Abgabe von Hilfsmitteln durch die Invalidenversicherung [KHMI], Ziff. 9.02.6). Ein Schub- oder Zuggerät geht nur dann zu Lasten der Invalidenversicherung, wenn es nicht nur von einer Hilfsperson sondern auch von der Versicherten selbst bedient werden kann (vgl. ZAK 1988 S. 180).</w:t>
      </w:r>
    </w:p>
    <w:p>
      <w:r>
        <w:rPr>
          <w:b/>
        </w:rPr>
        <w:t>E. 4.2</w:t>
      </w:r>
    </w:p>
    <w:p>
      <w:r>
        <w:t>Mit dem unangefochten rechtskräftig gewordenen Einspracheentscheid vom 23. September 2003 wurde der Anspruch auf einen Elektrorollstuhl abgelehnt. Für Eingliederungsmassnahmen gelten analoge Revisionsvoraussetzungen wie für Renten ( BGE 113 V 22 E. 3b S. 27; KIESER, ATSG-Kommentar, 2. Auflage, Rz. 24 und 39 zu Art. 17). Dabei kommen nicht nur Änderungen im Gesundheitszustand, sondern auch in anderen relevanten Sachverhaltsaspekten als Revisionsgründe in Frage ( BGE 113 V 22 E. 3b S. 27). Nach verbindlicher Sachverhaltsfeststellung der Vorinstanz hat sich der Gesundheitszustand der Beschwerdeführerin seitdem nicht verändert, ausser dass sie reifer und selbstständiger geworden ist (Bericht Neuropädiatrie Kinderspital X.________ vom 16. März 2006). Nicht verändert hat sich auch der Umstand, dass sie ohne Elektrorollstuhl nicht in der Lage ist, am Wochenende das Wohnhaus ihrer Eltern zu erreichen. Verändert hat sich, dass sie nicht mehr in der Stiftung Y.________ für Körperbehinderte zur Schule geht. Seit dem 20. August 2007 (und damit vor dem Einspracheentscheid vom 12. November 2007) absolviert sie eine BBT-Anlehre "Elektrobauteilemonteurin" im Wohn- und Arbeitszentrum Z.________ (WAZ). Diese Änderung in den Lebensumständen kann eine Neubeurteilung rechtfertigen.</w:t>
      </w:r>
    </w:p>
    <w:p>
      <w:r>
        <w:rPr>
          <w:b/>
        </w:rPr>
        <w:t>E. 5.1</w:t>
      </w:r>
    </w:p>
    <w:p>
      <w:r>
        <w:t>Leistungen, die im HVI-Anhang aufgeführt sind, werden nicht ohne weiteres, sondern nur soweit erforderlich und lediglich in einfacher und zweckmässiger Ausführung erbracht ( Art. 21 Abs. 2 IVG ; Art. 2 Abs. 4 HVI ).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I 105 E. 3 S. 107 f. mit Hinweisen). Nach der Rechtsprechung bezieht sich die Notwendigkeit des Hilfsmittels auf die konkrete Situation, in welcher die versicherte Person lebt. So wurde ein Elektrorollstuhl zugesprochen bei einer Versicherten, die sich zwar auf völlig ebenem Gelände mit einem Handrollstuhl fortbewegen konnte, aber in ihrer konkreten Wohnlage mit Verkehrsgabelungen die alltäglichen Besorgungen nicht selbstständig erledigen konnte (Urteil I 340/93 vom 25. Mai 1994). Der Anspruch auf einen Elektrorollstuhl wurde ebenfalls bejaht, weil ein Versicherter sonst nicht in der Lage gewesen wäre, Strassensteigungen, Rampen oder Bordsteinkanten zu überwinden, womit ihm der selbstständige Gang ins Dorfzentrum zur Verrichtung verschiedenster notwendiger Besorgungen verwehrt gewesen wäre (Urteil l 185/92 vom 1. September 1992).</w:t>
      </w:r>
    </w:p>
    <w:p>
      <w:r>
        <w:rPr>
          <w:b/>
        </w:rPr>
        <w:t>E. 5.2</w:t>
      </w:r>
    </w:p>
    <w:p>
      <w:r>
        <w:t>Der Fall der Beschwerdeführerin unterscheidet sich von den genannten insofern, als sie im WAZ arbeitet und während der Woche wohnt; sie kann hier die alltäglichen Lebensbedürfnisse, inklusive Freizeitangebot und soziale Kontakte, grundsätzlich erfüllen. Es ist unbestritten, dass sie sich auf dem Gelände des WAZ mit dem Handrollstuhl allein fortbewegen kann. Den Hilfsmittelanspruch begründet sie damit, es fehle ihr die nötige Kraft, sich vom WAZ selbstständig ins Dorf und wieder zurück zu begeben, falls sie dort soziale Kontakte pflegen und Einkäufe besorgen will.</w:t>
      </w:r>
    </w:p>
    <w:p>
      <w:r>
        <w:rPr>
          <w:b/>
        </w:rPr>
        <w:t>E. 5.3</w:t>
      </w:r>
    </w:p>
    <w:p>
      <w:r>
        <w:t>Die Vorinstanz ist ihr insofern gefolgt, als sie die Regelung in Ziff. 9.02 HVI-Anhang, wonach Elektrorollstühle Versicherten abzugeben sind, die einen gewöhnlichen Rollstuhl nicht bedienen und sich nur dank elektromotorischem Antrieb selbstständig fortbewegen können, nicht so eng auslegt, dass ein solcher Stuhl nur dann in Frage kommt, wenn auch in ebenem Gelände die Fortbewegung nur mit Antrieb möglich ist. Die Gelegenheit, eigenständig von der Eingliederungsstätte ins Dorf und zurück zu gelangen, falle ohne Zweifel unter die Anspruchsvoraussetzung der Herstellung des Kontaktes mit der Umwelt. Konkret sei es der Versicherten jedoch möglich, die Steigung vom Dorf zum WAZ selbstständig zu bewältigen. Der Höhenunterschied zwischen der Bushaltestelle und dem WAZ betrage rund 9 Meter auf eine Distanz von 400 Metern, wobei die Steigung ("Angaben gemäss TwixRoute") konstant sei. Von einem Hügel könne somit kaum gesprochen werden. Wenn die Beschwerdeführerin nach eigener Aussage kürzere Steigungen alleine überwinden könne, dürfe angenommen werden, dass sie auch die fragliche Strecke selbstständig, allenfalls unter Einlegung von Pausen, zurücklegen und darum mit dem Handrollstuhl - unter Umständen unter Benützung der öffentlichen Verkehrsmittel - ins Dorfzentrum und wieder zurück gelangen könne.</w:t>
      </w:r>
    </w:p>
    <w:p>
      <w:r>
        <w:rPr>
          <w:b/>
        </w:rPr>
        <w:t>E. 6</w:t>
      </w:r>
    </w:p>
    <w:p>
      <w:r>
        <w:t>Der Umstand einer starken Steigung oder eines nicht rollstuhlgängigen Geländes kann generell nicht schon Grund sein für den Anspruch auf ein elektrisch betriebenes Gefährt, da sonst jede auf den Rollstuhl angewiesene Person einen solchen geltend machen könnte. Eine solche Leistungsausweitung ist vom Gesetzgeber klarerweise nicht gewollt, wenn er die Abgabe eines Elektrorollstuhls an Versicherte vorsieht, die einen gewöhnlichen Rollstuhl nicht bedienen und sich nur dank einem Motor selbstständig fortbewegen können (Ziff. 9.2 HVI-Anhang). Wenn das Gesetz den Bedarf des Geräts zur "Fortbewegung" vorsieht, kann darum nicht gemeint sein, dass die betroffene Person sich mit dem Rollstuhl in jedem Gelände bewegen können muss. Die Vorinstanz hat dies mit Recht erkannt. Richtig ist aber auch ihre Auffassung, dass bei Wochenaufenthaltern in einer Eingliederungsstätte wie dem Wohn- und Arbeitszentrum WAZ sich die Eingliederungsziele der "Fortbewegung" und der "Herstellung des Kontakts mit der Umwelt" räumlich auf die ausserhalb der Wohn- und Arbeitsstätte nächstgelegene Örtlichkeit beziehen, an der die üblichen sozialen Kontakte der ansässigen Bevölkerung stattfinden. Deshalb darf bei der Abklärung des Hilfsmittelbedarfs nicht nur die künstliche und bedürfnisangepasste Umgebung einer behinderungsgerechten Eingliederungsstätte in die Prüfung der Rollstuhlgängigkeit einbezogen werden. Es ist stets die Frage zu klären, ob die versicherte Person über die Kraft verfügt, mit dem normalen Rollstuhl den Kontakt zur Umwelt ausserhalb des unmittelbaren Bereichs der Eingliederungsstätte aufnehmen zu können. Kann sie sich nicht selbstständig zu der nächstgelegenen Örtlichkeit begeben, wo Einkäufe getätigt, die Post erledigt, ansässige Ärzte besucht, ein Kiosk oder ein Restaurant usw. aufgesucht werden können, hat sie Anspruch auf die motorische Zughilfe. Dass sie solche alltäglichen Lebensbedürfnisse ohne Mobilitätshilfe einer Fremdperson abdecken kann, ist vom gesetzlich angestrebten Eingliederungserfolg erfasst. Die Kosten der Abgabe eines solchen Gerätes stehen wie vom Gesetz gefordert in einem vernünftigen Verhältnis zum Erfolg der Eingliederungsmassnahme, umso mehr, als so Betreuung und Fremdhilfe wegfallen können.</w:t>
      </w:r>
    </w:p>
    <w:p>
      <w:r>
        <w:rPr>
          <w:b/>
        </w:rPr>
        <w:t>E. 7.1</w:t>
      </w:r>
    </w:p>
    <w:p>
      <w:r>
        <w:t>Die Beschwerdeführerin kritisiert unter Beilage von Kartenauszügen und Streckenprofilen die vorinstanzliche Annahme (vorne E. 5.3), die Steigung vom Ortszentrum zum WAZ betrage nur 9 Meter auf eine Distanz von 400 Meter und sei auch im Handrollstuhl überwindbar. Im Einspracheentscheid war die IV-Stelle davon ausgegangen, dass es ausreicht, wenn sich die Beschwerdeführerin im WAZ und dessen Umgebung fortbewegen kann; die konkrete örtliche Situation zwischen Ortszentrum und WAZ brauchte bei dieser Rechtsauffassung nicht geprüft zu werden. In der Beschwerde an das Verwaltungsgericht hatte die Beschwerdeführerin vorgebracht, das WAZ befinde sich auf einem Hügel, den sie mit dem Handrollstuhl nicht selbstständig bewältigen könne. In der Vernehmlassung hatte die IV-Stelle geltend gemacht, der Höhenunterschied sei minim und für Rollstuhlfahrer zu bewältigen. Die Vorinstanz stellte in ihrem Urteil entscheidwesentlich auf diese Sachverhaltsdarstellung ab, ohne der Beschwerdeführerin Gelegenheit zu geben, sich dazu zu äussern. Darin liegt einerseits eine Gehörsverletzung und damit eine Rechtsverletzung im Sinne von Art. 95 BGG , die zur Folge hat, dass das Bundesgericht an die vorinstanzliche Sachverhaltsfeststellung nicht gebunden ist, und andererseits ein Umstand, der das Vorbringen von Noven rechtfertigt (vorne E. 1). Die von der Beschwerdeführerin vor Bundesgericht vorgelegten Unterlagen wecken begründete Zweifel an der Annahme der Vorinstanz, die Steigung sei mit dem Handrollstuhl überwindbar. Die Sache ist daher an die Vorinstanz zurückzuweisen, damit sie prüfe, wie es sich damit verhält. Sollte in der Tat die Strecke mit dem Handrollstuhl nicht zu bewältigen sein, so besteht nach dem Gesagten Anspruch auf das beantragte Zuggerät. In diesem Sinne ist die Beschwerde begründet.</w:t>
      </w:r>
    </w:p>
    <w:p>
      <w:r>
        <w:rPr>
          <w:b/>
        </w:rPr>
        <w:t>E. 7.2</w:t>
      </w:r>
    </w:p>
    <w:p>
      <w:r>
        <w:t>Hingegen kann mit dem erhöhten Wohnort der Eltern der Anspruch auf einen Elektrorollstuhl nicht begründet werden. Diesbezüglich hat sich seit der rechtskräftigen Ablehnung des früheren Gesuchs nichts geändert (vorne E. 4.2). Zudem befindet sich die Beschwerdeführerin nur während der Wochenenden und Ferien bei ihren Eltern. Der Schwerpunkt der sozialen Kontakte, der die Abgabe des Hilfsmittels rechtfertigt (vorne E. 6) liegt dort, wo der grösste Teil der Zeit verbracht wird, also im WAZ. Es lässt sich auch nicht sagen, dass ohne Elektrorollstuhl der Aufenthalt bei der Familie völlig verunmöglicht würde, was aufgrund verfassungskonformer Auslegung Anspruch auf Hilfsmittel geben könnte (vgl. BGE 134 I 105 E. 8.3).</w:t>
      </w:r>
    </w:p>
    <w:p>
      <w:r>
        <w:rPr>
          <w:b/>
        </w:rPr>
        <w:t>E. 8</w:t>
      </w:r>
    </w:p>
    <w:p>
      <w:r>
        <w:t>Dem Ausgang des Verfahrens entsprechend hat die Beschwerdegegnerin die Gerichtskosten zu tragen ( Art. 66 Abs. 1 BGG ) und der Beschwerdeführerin die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