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9C_462/2020 vom 26. Oktober 2021</w:t>
      </w:r>
    </w:p>
    <w:p>
      <w:r>
        <w:t>Bundesgericht, 2021-10-26, IT</w:t>
      </w:r>
    </w:p>
    <w:p>
      <w:r>
        <w:rPr>
          <w:b/>
        </w:rPr>
        <w:t xml:space="preserve">Quelle: </w:t>
      </w:r>
      <w:r>
        <w:t>https://mcp.opencaselaw.ch/entscheid/bger_9C_462_2020</w:t>
      </w:r>
    </w:p>
    <w:p>
      <w:r>
        <w:t>FR: TF 9C_462/2020 du 26 octobre 2021</w:t>
      </w:r>
    </w:p>
    <w:p>
      <w:r>
        <w:t>IT: TF 9C_462/2020 del 26 ottobre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L'opponente rifonderà al ricorrente fr. 1400.- a titolo di ripetibili di ultima istanza.</w:t>
      </w:r>
    </w:p>
    <w:p>
      <w:r>
        <w:rPr>
          <w:b/>
        </w:rPr>
        <w:t>E. 4</w:t>
      </w:r>
    </w:p>
    <w:p>
      <w:r>
        <w:t>Comunicazione alle parti, al Tribunale delle assicurazioni del Cantone Ticino e all'Ufficio federale delle assicurazioni sociali.</w:t>
      </w:r>
    </w:p>
    <w:p>
      <w:r>
        <w:t>Lucerna, 26 ottobre 2021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