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9C_462/2009 vom 2. Dezember 2009</w:t>
      </w:r>
    </w:p>
    <w:p>
      <w:r>
        <w:t>Bundesgericht, 2009-12-02, FR</w:t>
      </w:r>
    </w:p>
    <w:p>
      <w:r>
        <w:rPr>
          <w:b/>
        </w:rPr>
        <w:t xml:space="preserve">Quelle: </w:t>
      </w:r>
      <w:r>
        <w:t>https://mcp.opencaselaw.ch/entscheid/bger_9C_462_2009</w:t>
      </w:r>
    </w:p>
    <w:p>
      <w:r>
        <w:t>FR: TF 9C_462/2009 du 2 décembre 2009</w:t>
      </w:r>
    </w:p>
    <w:p>
      <w:r>
        <w:t>IT: TF 9C_462/2009 del 2 dicembre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recourant reproche à la juridiction cantonale d'avoir procédé à une appréciation arbitraire des preuves, en écartant sans justifier son choix l'avis de certains praticiens et du COPAI. Il se plaint également de ce que sa requête tendant à la mise en oeuvre d'une expertise bidisciplinaire (rhumatologique et orthopédique) a été rejetée, l'empêchant ainsi de pouvoir exercer valablement son droit à la preuve et son droit d'être entendu.</w:t>
      </w:r>
    </w:p>
    <w:p>
      <w:r>
        <w:rPr>
          <w:b/>
        </w:rPr>
        <w:t>E. 2.2</w:t>
      </w:r>
    </w:p>
    <w:p>
      <w:r>
        <w:t>La violation du droit d'être entendu (sur cette notion en corrélation avec l'administration de preuves, cf. ATF 130 II 425 consid. 2.1 p. 429, 119 Ib 492 consid. 5b/bb p. 505) dans le sens invoqué par le recourant est une question qui n'a pas de portée propre par rapport au grief tiré d'une mauvaise appréciation des preuves. Le juge peut effectivement renoncer à accomplir certains actes d'instruction sans que cela n'entraîne une violation du droit d'être entendu (arrêt I 363/99 du 8 février 2000 ne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Verwaltungsverfahren in der Sozialversicherung, p. 212 n° 450; KÖLZ/HÄNER, Verwaltungsverfahren und Verwaltungsrechtspflege des Bundes, 2ème éd., p. 39 n° 111 et p. 117 n° 320; FRITZ GYGI, Bundesverwaltungsrechtspflege, 2ème éd. p. 274).</w:t>
      </w:r>
    </w:p>
    <w:p>
      <w:r>
        <w:rPr>
          <w:b/>
        </w:rPr>
        <w:t>E. 2.3</w:t>
      </w:r>
    </w:p>
    <w:p>
      <w:r>
        <w:t>Se fondant sur les conclusions du rapport du docteur R.________, lesquelles étaient confirmées par le docteur N.________, la juridiction cantonale a retenu que le recourant présentait une capacité de travail exigible entière dans une activité adaptée à ses limitations fonctionnelles, avec une baisse de rendement de 10 à 20 %. Il a estimé que les points de vue des docteurs L.________, médecin-conseil du COPAI, J.________ et S.________ n'étaient pas de nature à mettre en doute les conclusions de l'expertise. Quant aux observations faites par le COPAI, pour utiles qu'elles soient, elles n'étaient pas non plus de nature à supplanter l'avis dûment motivé des docteurs R.________ et N.________.</w:t>
      </w:r>
    </w:p>
    <w:p>
      <w:r>
        <w:rPr>
          <w:b/>
        </w:rPr>
        <w:t>E. 2.4</w:t>
      </w:r>
    </w:p>
    <w:p>
      <w:r>
        <w:t>Même si cette motivation peut paraître succincte, voire sommaire, notamment en ce qui concerne les motifs pour lesquels certains moyens de preuve ont été écartés, elle ne viole toutefois pas le droit d'être entendu du recourant qui n'a été empêché ni de comprendre la portée du jugement entrepris, ni de recourir utilement à son encontre (cf. ATF 133 III 439 cons 3.3 p. 445 et les références). Le choix de privilégier l'avis des docteurs R.________ et N.________ au détriment de l'avis des docteurs J.________ et L.________ relève en fait de la libre appréciation des preuves.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En l'occurrence, le recourant ne tente nullement d'établir, au moyen d'une argumentation circonstanciée, que le contenu des rapports établis par les docteurs R.________ et N.________ serait critiquable ou que les rapports des docteurs J.________ et L.________ seraient plus convaincants. Pour établir que l'appréciation des premiers juges serait arbitraire, il ne suffit pas de prétendre - comme le fait le recourant - qu'ils seraient arrivés à une conclusion différente s'ils avaient retenu les avis des docteurs J.________ et L.________. On ne saurait remettre en cause l'appréciation d'un juge et procéder à de nouvelles investigations au motif qu'il existerait au dossier un avis médical divergent. Il n'en va différemment que si cet avis fait état d'éléments objectivement vérifiables ayant été ignorés dans le cadre de l'appréciation et qui sont suffisamment pertinents pour remettre en cause les conclusions retenues par l'administration ou établir le caractère incomplet de la documentation médicale. Tel n'est pas le cas en l'espèce, puisque le recourant ne s'en prend qu'au résultat de l'appréciation, sans faire état d'éléments cliniques ou diagnostiques qui n'auraient pas été pris en compte ou de contradictions manifestes justifiant que l'on s'écarte de cette appréciation. La juridiction cantonale n'a pas non plus abusé de son pouvoir d'appréciation et fait preuve d'arbitraire en écartant les données recueillies par le COPAI.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I 762/02 du 6 mai 2003 consid. 2). En l'espèce, les maîtres de réadaptation ont relevé que l'assuré avait fait preuve d'un engagement restreint dans le cadre des exercices manuels auxquels il avait été soumis en atelier. Le rendement limité constaté pouvant s'expliquer aussi bien par des éléments subjectifs que par des raisons médicales, on ne saurait reprocher aux premiers juges d'avoir, dans le doute, privilégié le point de vue médical et les avis étayés des docteurs R.________ et N.________.</w:t>
      </w:r>
    </w:p>
    <w:p>
      <w:r>
        <w:rPr>
          <w:b/>
        </w:rPr>
        <w:t>E. 3.1</w:t>
      </w:r>
    </w:p>
    <w:p>
      <w:r>
        <w:t>Se fondant sur les art. 68 al. 4 et 68a de la loi d'organisation judiciaire du 12 décembre 1979 (LOJV; RSVd 173.01), le recourant reproche également à la Cour des assurances sociales d'avoir statué à trois juges, alors qu'elle aurait dû être composée d'au moins un voire deux assesseurs spécialistes.</w:t>
      </w:r>
    </w:p>
    <w:p>
      <w:r>
        <w:rPr>
          <w:b/>
        </w:rPr>
        <w:t>E. 3.2</w:t>
      </w:r>
    </w:p>
    <w:p>
      <w:r>
        <w:t>Le recourant invoque ainsi une mauvaise application du droit cantonal de procédure. Or, sauf dans les cas cités expressément à l' art. 95 LTF , le recours en matière de droit public ne peut pas être formé pour violation du droit cantonal en tant que tel. Par contre, il est possible de faire valoir que la mauvaise application du droit cantonal constitue une violation du droit fédéral, en particulier qu'elle est arbitraire au sens de l' art. 9 Cst. ( ATF 133 III 462 consid. 2.3 p. 466). Cela étant, le Tribunal fédéral n'examine les moyens fondés sur la violation d'un droit constitutionnel que s'ils ont été invoqués et motivés de manière précise (art. 42 al. 2 et 106 al. 2 LTF; ATF 135 V 94 consid. 1 p. 95). Tel n'est pas le cas en l'espèce puisque le recourant ne mentionne pas l'arbitraire. Le grief est par conséquent irrecevable.</w:t>
      </w:r>
    </w:p>
    <w:p>
      <w:r>
        <w:rPr>
          <w:b/>
        </w:rPr>
        <w:t>E. 3.3</w:t>
      </w:r>
    </w:p>
    <w:p>
      <w:r>
        <w:t>Et quand bien même le grief serait-il suffisamment motivé qu'il devrait être écarté. Selon l'art. 37 al. 1 du règlement organique du Tribunal cantonal du 13 novembre 2007 (ROTC; RSVd 173.31.1), la Cour des assurances sociales statue à trois juges, à deux juges et un assesseur ou à un juge et deux assesseurs, en fonction de la nécessité de connaissances techniques ou scientifiques, du degré de complexité de l'affaire ou de l'importance des questions juridiques à résoudre. Compte tenu de la large marge d'appréciation laissée à la Cour des assurances sociales en ce qui concerne la désignation des juges appelés à statuer, il n'y a pas lieu pour le Tribunal fédéral d'intervenir dans le choix opéré par cette autorité.</w:t>
      </w:r>
    </w:p>
    <w:p>
      <w:r>
        <w:rPr>
          <w:b/>
        </w:rPr>
        <w:t>E. 4</w:t>
      </w:r>
    </w:p>
    <w:p>
      <w:r>
        <w:t>Mal fondé, le recours doit être rejeté. Les frais afférents à la présente procédure seront supportés par le recourant qui succombe ( art. 66 al. 1 LTF ). Il a cependant déposé une demande d'assistance judiciaire visant à la dispense des frais judiciaires et à la désignation d'un avocat d'office. Vu que son recours n'apparaissait pas d'emblée voué à l'échec et qu'il émarge à l'aide sociale,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