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461/2012 vom 24. Oktober 2012</w:t>
      </w:r>
    </w:p>
    <w:p>
      <w:r>
        <w:t>Bundesgericht, 2012-10-24, FR</w:t>
      </w:r>
    </w:p>
    <w:p>
      <w:r>
        <w:rPr>
          <w:b/>
        </w:rPr>
        <w:t xml:space="preserve">Quelle: </w:t>
      </w:r>
      <w:r>
        <w:t>https://mcp.opencaselaw.ch/entscheid/bger_9C_461_2012</w:t>
      </w:r>
    </w:p>
    <w:p>
      <w:r>
        <w:t>FR: TF 9C 461/2012 du 24 octobre 2012</w:t>
      </w:r>
    </w:p>
    <w:p>
      <w:r>
        <w:t>IT: TF 9C 461/2012 del 24 ottobre 2012</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la reprise en tant que salaire déterminant, à la suite du rapport de contrôle d'employeur du 10 décembre 2010, de frais de déplacement, de représentation et de véhicule des salariés de l'entreprise recourante pour les années 2005 à 2008 ( art. 5 al. 2 LAVS ; art. 9 al. 1 et 2 RAVS ).</w:t>
      </w:r>
    </w:p>
    <w:p>
      <w:r>
        <w:rPr>
          <w:b/>
        </w:rPr>
        <w:t>E. 3.1</w:t>
      </w:r>
    </w:p>
    <w:p>
      <w:r>
        <w:t>Lorsqu'une caisse de compensation fixe le montant des cotisations paritaires par voie de décision, elle crée une obligation aussi bien à l'égard de l'employeur que du salarié (voir les art. 4 et 5, ainsi que les art. 12 et 13 LAVS ). Ces derniers sont touchés de la même manière par la décision, si bien que celle-ci doit être notifiée tant à l'employeur qu'au salarié concerné. 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 ATF 113 V 1 , ATFA 1965 p. 239 consid. 1 et 3, RCC 1979 p. 116 consid. 1b, 1978 p. 62 consid. 3a).</w:t>
      </w:r>
    </w:p>
    <w:p>
      <w:r>
        <w:rPr>
          <w:b/>
        </w:rPr>
        <w:t>E. 3.2</w:t>
      </w:r>
    </w:p>
    <w:p>
      <w:r>
        <w:t>En l'espèce, il ne ressort pas du dossier que la caisse aurait notifié ses décisions des 21 décembre 2010 et 27 avril 2011 au titre de cotisations paritaires à T.________, directeur commercial, ainsi qu'à S.________ et F.________, salariés. Ces derniers n'ont non plus été invités par la juridiction cantonale à se déterminer sur le recours formé par la société recourante. Compte tenu de l'importance du montant réclamé, la caisse ne pouvait renoncer à communiquer ses décisions à T.________, S.________ et F.________. De leur côté, les premiers juges, en rejetant le recours et en exposant les prénommés à devoir rembourser la part de leurs cotisations à la recourante, sans les avoir au préalable invités à se déterminer, n'ont pas respecté les principes jurisprudentiels exposés ci-dessus.</w:t>
      </w:r>
    </w:p>
    <w:p>
      <w:r>
        <w:rPr>
          <w:b/>
        </w:rPr>
        <w:t>E. 3.3</w:t>
      </w:r>
    </w:p>
    <w:p>
      <w:r>
        <w:t>Sans discuter le fond du litige, il se justifie dès lors d'annuler le jugement entrepris et de renvoyer l'affaire à la Cour des assurances sociales du Tribunal cantonal du canton de Vaud, afin qu'elle donne l'occasion à T.________, S.________ et F.________ de se déterminer et rende un nouveau jugement. Dans cette mesure, le recours est bien fondé.</w:t>
      </w:r>
    </w:p>
    <w:p>
      <w:r>
        <w:rPr>
          <w:b/>
        </w:rPr>
        <w:t>E. 4</w:t>
      </w:r>
    </w:p>
    <w:p>
      <w:r>
        <w:t>L'intimée, qui succombe, supportera les frais de la procédure ( art. 66 al. 1 LTF ) et versera à la recourante, qui obtient gain de cause ( art. 68 al. 1 LTF )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