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9C_460/2010 vom 16. Dezember 2010</w:t>
      </w:r>
    </w:p>
    <w:p>
      <w:r>
        <w:t>Bundesgericht, 2010-12-16, FR</w:t>
      </w:r>
    </w:p>
    <w:p>
      <w:r>
        <w:rPr>
          <w:b/>
        </w:rPr>
        <w:t xml:space="preserve">Quelle: </w:t>
      </w:r>
      <w:r>
        <w:t>https://mcp.opencaselaw.ch/entscheid/bger_9C_460_2010</w:t>
      </w:r>
    </w:p>
    <w:p>
      <w:r>
        <w:t>FR: TF 9C_460/2010 du 16 décembre 2010</w:t>
      </w:r>
    </w:p>
    <w:p>
      <w:r>
        <w:t>IT: TF 9C_460/2010 del 16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considéré que l'examen somatique et les conclusions que le docteur W.________ avait tirées de celui-ci, revêtaient pleine valeur probante. En revanche, l'addition des taux d'incapacité somatique et psychique à laquelle ce médecin avait procédé, ne pouvait être suivie. Selon la jurisprudence, la fixation du taux d'incapacité de travail déterminant ne devait pas résulter de la simple addition des taux d'incapacité sur le plan somatique et psychique, mais d'une évaluation globale. La démarche de l'expert était donc erronée. En l'espèce, il y avait lieu de retenir que le taux d'incapacité somatique englobait le taux d'incapacité psychique, de sorte que le taux d'incapacité déterminant était de 30 % au maximum.</w:t>
      </w:r>
    </w:p>
    <w:p>
      <w:r>
        <w:rPr>
          <w:b/>
        </w:rPr>
        <w:t>E. 2.2</w:t>
      </w:r>
    </w:p>
    <w:p>
      <w:r>
        <w:t>La recourante invoque une constatation manifestement inexacte des faits pertinents, consécutive à une mauvaise appréciation des preuves. Les premiers juges se seraient en effet écartés à tort des conclusions du docteur W.________, lequel avait expressément précisé qu'une addition se justifiait dans le cas d'espèce. Par ailleurs, si les premiers juges avaient des doutes quant au bien-fondé de l'expertise réalisée par le docteur W.________, ils ne pouvaient se contenter d'y substituer leur propre appréciation, mais devaient renvoyer le dossier pour complément d'instruction.</w:t>
      </w:r>
    </w:p>
    <w:p>
      <w:r>
        <w:rPr>
          <w:b/>
        </w:rPr>
        <w:t>E. 3.1</w:t>
      </w:r>
    </w:p>
    <w:p>
      <w:r>
        <w:t>Selon le docteur W.________, les répercussions fonctionnelles de toutes les pathologies affectant la recourante entraînaient des limitations en mobilité active, force et endurance au niveau des membres supérieurs, de manière prédominante à droite, particulièrement lors des mouvements au-dessus de l'horizontale, des mouvements répétitifs ou exigeant une certaine force d'appui et les ports de charges. De plus, dans ce contexte algo-fonctionnel, un fond dysthymique avec état dépressif réduisait les capacités compensatoires de l'assurée, soit le « coping » et la gestion de la douleur. Ainsi, même dans une activité manuelle légère ou toute activité adaptée raisonnablement exigible, il existait un degré d'invalidité correspondant à la sommation des différentes pathologies (20 % pour l'épaule droite; 10 % pour l'épaule gauche; 10 à 20 % pour les troubles psychiques), soit au total une invalidité de 40 à 50 %.</w:t>
      </w:r>
    </w:p>
    <w:p>
      <w:r>
        <w:rPr>
          <w:b/>
        </w:rPr>
        <w:t>E. 3.2</w:t>
      </w:r>
    </w:p>
    <w:p>
      <w:r>
        <w:t>En soi, la démarche adoptée par l'expert ne suffit pas à considérer qu'il se serait écarté du mandat qui lui a été confié et nier d'emblée la valeur probante de ses constatations relatives à la capacité de travail résiduelle de la recourante (arrêt I 249/05 du 11 juillet 2006 consid. 3.1). Cela étant, lesdites constatations ne peuvent être tenues pour probantes que si l'expert explique son point de vue de manière cohérente et si les autres exigences posées par la jurisprudence en la matière sont remplies.</w:t>
      </w:r>
    </w:p>
    <w:p>
      <w:r>
        <w:rPr>
          <w:b/>
        </w:rPr>
        <w:t>E. 3.3</w:t>
      </w:r>
    </w:p>
    <w:p>
      <w:r>
        <w:t>En l'occurrence, les conclusions du docteur W.________ ne sont pas étayées par des explications claires quant aux motifs pour lesquels les atteintes à la santé psychique de la recourante nécessiteraient un allégement supplémentaire du rythme ou du temps de travail, par rapport à l'incapacité de travail de 30 % déjà admise en raison des atteintes à la santé physique. Certes, ce médecin a indiqué que l'existence d'un fond dysthymique avec état dépressif dans un contexte algo-fonctionnel réduisait les capacités compensatoires de l'assurée, soit le « coping » et la gestion de la douleur. Cette affirmation n'est toutefois pas fondée sur une analyse concrète et approfondie de la situation de l'assurée, mais relève bien plutôt d'une appréciation de nature générale et subjective. En vérité, le docteur W.________ s'est limité à reprendre abstraitement les conclusions de l'expertise psychiatrique réalisée par le docteur E.________, sans en discuter la portée ni le contenu. Or, le docteur E.________ a indiqué que l'assurée présentait une symptomatologie dépressive et anxieuse qui devait tout au plus être qualifiée de légère, susceptible par ailleurs de s'amender si elle observait mieux le traitement antidépresseur qui lui avait été prescrit. Compte tenu du tableau extrêmement peu symptomatique décrit par le docteur E.________, on ne saurait considérer que les premiers juges ont abusé de leur pouvoir d'appréciation en considérant en l'espèce que le taux d'incapacité somatique englobait le taux d'incapacité psychique. Les explications du docteur W.________, dont la spécialité n'est au demeurant pas la psychiatrie, ne sont pas suffisantes, au regard du tableau clinique présenté par l'assurée, pour que l'on puisse se convaincre, au degré de vraisemblance requis, que les troubles psychiques l'empêcheraient de mettre en valeur ses capacités physiques dans une activité exercée à plus de 50 %.</w:t>
      </w:r>
    </w:p>
    <w:p>
      <w:r>
        <w:rPr>
          <w:b/>
        </w:rPr>
        <w:t>E. 4</w:t>
      </w:r>
    </w:p>
    <w:p>
      <w:r>
        <w:t>Le grief de la recourante selon lequel l'abattement de 10 % auquel il a été procédé sur le salaire statistique pris en compte pour déterminer le revenu d'invalide ne serait pas adéquat doit également être rejeté. En se limitant à revendiquer un abattement de 25 %, la recourante ne démontre pas en quoi l'office intimé et la juridiction cantonale auraient commis un excès positif ou négatif de leur pouvoir d'appréciation ou aurait abusé de celui-ci (voir ATF 132 V 393 consid. 3.3 p. 399 et 126 V 75). On ne voit notamment pas, à la lumière de l'argumentation de la recourante, que l'une ou l'autre circonstance pertinente aurait été mésestimée ou, à tout le moins, appréciée de manière manifestement insoutenable, les difficultés linguistiques ou le manque de formation professionnelle ne pouvant guère constituer des critères déterminants, au regard de la nature des activités encore exigibles.</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