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9C_45/2022 vom 14. März 2022</w:t>
      </w:r>
    </w:p>
    <w:p>
      <w:r>
        <w:t>Bundesgericht, 2022-03-14, DE</w:t>
      </w:r>
    </w:p>
    <w:p>
      <w:r>
        <w:rPr>
          <w:b/>
        </w:rPr>
        <w:t xml:space="preserve">Quelle: </w:t>
      </w:r>
      <w:r>
        <w:t>https://mcp.opencaselaw.ch/entscheid/bger_9C_45_2022</w:t>
      </w:r>
    </w:p>
    <w:p>
      <w:r>
        <w:t>FR: TF 9C_45/2022 du 14 mars 2022</w:t>
      </w:r>
    </w:p>
    <w:p>
      <w:r>
        <w:t>IT: TF 9C_45/2022 del 14 marzo 2022</w:t>
      </w:r>
    </w:p>
    <w:p>
      <w:pPr>
        <w:pStyle w:val="Heading2"/>
      </w:pPr>
      <w:r>
        <w:t>Volltext</w:t>
      </w:r>
    </w:p>
    <w:p>
      <w:r>
        <w:t>Bundesgericht</w:t>
      </w:r>
    </w:p>
    <w:p>
      <w:r>
        <w:t>Tribunal fédéral</w:t>
      </w:r>
    </w:p>
    <w:p>
      <w:r>
        <w:t>Tribunale federale</w:t>
      </w:r>
    </w:p>
    <w:p>
      <w:r>
        <w:t>Tribunal federal</w:t>
      </w:r>
    </w:p>
    <w:p>
      <w:r>
        <w:t>9C_45/2022</w:t>
      </w:r>
    </w:p>
    <w:p>
      <w:r>
        <w:t>Urteil vom 14. März 2022</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w:t>
      </w:r>
    </w:p>
    <w:p>
      <w:r>
        <w:t>Beschwerde gegen den Beschluss des Sozialversicherungsgerichts des Kantons Zürich</w:t>
      </w:r>
    </w:p>
    <w:p>
      <w:r>
        <w:t>vom 6. Januar 2022 (IV.2021.00746).</w:t>
      </w:r>
    </w:p>
    <w:p>
      <w:r>
        <w:t>Nach Einsicht</w:t>
      </w:r>
    </w:p>
    <w:p>
      <w:r>
        <w:t>in die Beschwerde vom 18. Januar 2022 gegen den Beschluss des Sozialversicherungsgerichts des Kantons Zürich vom 6. Januar 2022, mit welchem dieses auf die Beschwerde des A.________ mangels örtlicher Zuständigkeit nicht eingetreten ist und auf eine Überweisung an das zuständige Gericht mangels schutzwürdigem Interesse verzichtete,</w:t>
      </w:r>
    </w:p>
    <w:p>
      <w:r>
        <w:t>in Erwägung,</w:t>
      </w:r>
    </w:p>
    <w:p>
      <w:r>
        <w:t>dass unerörtert bleiben kann, ob der Beschwerdeführer, welchem eine Beistandsperson zur Seite steht, ohne Zustimmung im Sinne von Art. 416 Abs. 1 Ziff. 9 ZGB zur Beschwerde legitimiert ist, weil auf das Rechtsmittel - wie sich aus dem Folgenden ergibt - ohnehin nicht eingetreten werden kann,</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w:t>
      </w:r>
    </w:p>
    <w:p>
      <w:r>
        <w:t>dass nach der Rechtsprechung eine Beschwerdeschrift, welche sich bei Nichteintretensentscheiden lediglich mit der materiellen Seite des Falls auseinandersetzt, keine sachbezogene Begründung aufweist und damit keine rechtsgenügliche Beschwerde darstellt (vgl. BGE 123 V 335 E. 1b; Urteil 9C_334/2021 vom 30. Juni 2021),</w:t>
      </w:r>
    </w:p>
    <w:p>
      <w:r>
        <w:t>dass die Eingabe vom 18. Januar 2022 diesen inhaltlichen Mindestanforderungen offensichtlich nicht genügt, da sie weder Ausführungen zur Eintretensfrage noch zur Frage der unterbliebenen Überweisung an das zuständige Gericht enthält,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Berufsbeistandschafts- und Betreuungsdienst der Stadt X.________ und dem Bundesamt für Sozialversicherungen schriftlich mitgeteilt.</w:t>
      </w:r>
    </w:p>
    <w:p>
      <w:r>
        <w:t>Luzern, 14. März 2022</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