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9C_459/2019 vom 5. November 2019</w:t>
      </w:r>
    </w:p>
    <w:p>
      <w:r>
        <w:t>Bundesgericht, 2019-11-05, FR</w:t>
      </w:r>
    </w:p>
    <w:p>
      <w:r>
        <w:rPr>
          <w:b/>
        </w:rPr>
        <w:t xml:space="preserve">Quelle: </w:t>
      </w:r>
      <w:r>
        <w:t>https://mcp.opencaselaw.ch/entscheid/bger_9C_459_2019</w:t>
      </w:r>
    </w:p>
    <w:p>
      <w:r>
        <w:t>FR: TF 9C_459/2019 du 5 novembre 2019</w:t>
      </w:r>
    </w:p>
    <w:p>
      <w:r>
        <w:t>IT: TF 9C_459/2019 del 5 novembre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le litige porte sur le droit du recourant à une rente de l'assurance-invalidité. Il s'agit singulièrement de déterminer si A.________ a droit à une rente plus élevée qu'un quart de rente d'invalidité dès le 1</w:t>
      </w:r>
    </w:p>
    <w:p>
      <w:r>
        <w:t>er mars 2015. A cet égard, les premiers juges ont exposé de manière complète les dispositions légales et les principes jurisprudentiels applicables à la notion d'invalidité ( art. 8 LPGA et art. 4 LAI ), à son évaluation ( art. 16 LPGA et art. 28a LAI ) et à la valeur probante des rapports et expertises médicaux. Il suffit d'y renvoyer.</w:t>
      </w:r>
    </w:p>
    <w:p>
      <w:r>
        <w:rPr>
          <w:b/>
        </w:rPr>
        <w:t>E. 3.1</w:t>
      </w:r>
    </w:p>
    <w:p>
      <w:r>
        <w:t>En se fondant sur les conclusions de l'expertise des médecins de la PMU du 2 août 2016, la juridiction cantonale a retenu que A.________ pouvait exercer à 50 % une activité professionnelle adaptée aux limitations fonctionnelles décrites par les experts dès la fin de l'année 2014. L'assuré avait d'ailleurs été en mesure de suivre à mi-temps un stage d'orientation professionnelle durant deux mois et demi (du 20 mars au 4 juin 2017). Les premiers juges ont ajouté que le recourant avait indiqué au terme du stage que la reprise d'une activité régulière l'avait aidé à mieux vivre ses problèmes de santé.</w:t>
      </w:r>
    </w:p>
    <w:p>
      <w:r>
        <w:rPr>
          <w:b/>
        </w:rPr>
        <w:t>E. 3.2</w:t>
      </w:r>
    </w:p>
    <w:p>
      <w:r>
        <w:t>Invoquant une appréciation arbitraire des preuves, le recourant reproche à la juridiction cantonale d'avoir écarté de manière arbitraire les conclusions des docteurs F.________, G.________ et H.________ au profit de celles des médecins de la PMU. Dans ce cadre, il invoque également une violation de la maxime d'office et de son droit d'être entendu en tant que les premiers juges ont refusé de mettre en oeuvre une nouvelle expertise médicale. Tel qu'invoqués, ces derniers griefs n'ont cependant pas de porté propre par rapport à celui tiré de l'arbitraire de l'appréciation des preuves (cf. arrêt 9C_274/2015 du 4 janvier 2016 consid. 4.2.2; voir aussi ULRICH MEYER, Tatfrage - Rechtsfrage, in: Grenzfälle in der Sozialversicherung, 2015, p. 102). Il n'y a dès lors pas lieu de les examiner séparément.</w:t>
      </w:r>
    </w:p>
    <w:p>
      <w:r>
        <w:rPr>
          <w:b/>
        </w:rPr>
        <w:t>E. 4</w:t>
      </w:r>
    </w:p>
    <w:p>
      <w:r>
        <w:t>En l'espèce, les premiers juges ont constaté sans arbitraire que les docteurs F.________, G.________ et H.________ posaient les mêmes diagnostics que ceux retenus par les experts et que seules leurs conclusions concernant la répercussion des atteintes à la santé du recourant sur sa capacité de travail étaient différentes. Au vu de la divergence consacrée par la jurisprudence entre un mandat thérapeutique et un mandat d'expertise ( ATF 124 I 170 consid. 4 p. 175), on ne saurait cependant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Or l'incapacité de travail mise en avant par les médecins traitants s'explique essentiellement par le fait qu'ils se fondent sur la manière dont l'assuré ressent et assume ses facultés de travail, notamment en ce qui concerne le port de charges (cinq kilos), alors que les experts ont établi ce qui était raisonnablement exigible le plus objectivement possible (dix kilos) dans une activité adaptée aux limitations fonctionnelles décrites. Quant à l'avis du docteur F.________ du 8 août 2017, complété le 21 septembre suivant, le médecin du Service médical régional de l'assurance-invalidité a exposé que l'évolution arthrosique débutante de l'épaule droite décrite par le médecin était déjà connue au moment de l'expertise. Dans ces conditions, le recourant n'expose pas que l'appréciation anticipée des preuves qui a conduit la juridiction cantonale à renoncer à mettre en oeuvre une expertise judiciaire violerait l'interdiction de l'arbitraire, respectivement son droit d'être entendu, ni que ses offres de preuves seraient pertinentes ou de nature à influer sur la décision à rendre au sens de la jurisprudence. Il n'y a pas lieu de s'écarter des conclusions médicales suivies par les premiers juges.</w:t>
      </w:r>
    </w:p>
    <w:p>
      <w:r>
        <w:t>En cas d'évaluation pluridisciplinaire, on ajoutera encore qu'il y a lieu de se fonder, en principe, sur l'appréciation globale de synthèse fondée sur un consilium entre les experts, au cours duquel les résultats obtenus dans chacune des disciplines sont discutés, et non sur celles, forcément sectorielles, des différentes consultations spécialisées. Contrairement à ce que prétend le recourant, le fait que le docteur I.________, spécialiste en neurologie, a indiqué que le recourant pouvait travailler à 100 % dans une activité adaptée d'un point de vue neurologique n'est en rien contradictoire avec les conclusions finales de l'expertise de la PMU. Singulièrement, les experts ont exposé de manière convaincante les raisons pour lesquelles le recourant présentait une capacité de travail médico-théorique de 50 % dans une activité adaptée d'un point de vue rhumatologique. Les différents griefs du recourant doivent ainsi être rejetés.</w:t>
      </w:r>
    </w:p>
    <w:p>
      <w:r>
        <w:rPr>
          <w:b/>
        </w:rPr>
        <w:t>E. 5</w:t>
      </w:r>
    </w:p>
    <w:p>
      <w:r>
        <w:t>Le recourant critique finalement l'abattement de 5 % opéré par la juridiction cantonale sur le salaire statistique résultant de l'Enquête suisse sur la structure des salaires servant à déterminer son revenu d'invalide.</w:t>
      </w:r>
    </w:p>
    <w:p>
      <w:r>
        <w:rPr>
          <w:b/>
        </w:rPr>
        <w:t>E. 5.1</w:t>
      </w:r>
    </w:p>
    <w:p>
      <w:r>
        <w:t>Les premiers juges ont constaté que le recourant disposait d'un permis d'établissement et qu'il était âgé de 53 ans au moment où les médecins de la PMU se sont prononcés sur sa capacité de travail dans une activité médicalement adaptée. En se fondant sur le large éventail d'activités simples et répétitives n'impliquant pas de formation autre qu'une mise au courant initiale et offert par les secteurs de la production et des services, ils ont considéré qu'il n'était par ailleurs pas illusoire ou irréaliste d'admettre qu'il existait un nombre significatif de métiers qui pouvaient être exercés par le recourant en dépit de ses limitations fonctionnelles. Dans ces conditions, les premiers juges ont retenu que le taux d'abattement de 5 % déterminé par l'office AI échappait à toute critique et devait être confirmé.</w:t>
      </w:r>
    </w:p>
    <w:p>
      <w:r>
        <w:rPr>
          <w:b/>
        </w:rPr>
        <w:t>E. 5.2</w:t>
      </w:r>
    </w:p>
    <w:p>
      <w:r>
        <w:t>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w:t>
      </w:r>
    </w:p>
    <w:p>
      <w:r>
        <w:rPr>
          <w:b/>
        </w:rPr>
        <w:t>E. 5.3</w:t>
      </w:r>
    </w:p>
    <w:p>
      <w:r>
        <w:t>En l'espèce, les premiers juges ont omis de tenir compte de l'interdépendance des facteurs personnels et professionnels entrant en ligne de compte qui contribuent à désavantager le recourant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Aussi, en présence d'un assuré de plus de 50 ans, la jurisprudence insiste sur l'effet de l'âge combiné avec un handicap, qui doit faire l'objet d'un examen dans le cas concret (arrêt 8C_766/2017 du 30 juillet 2018 consid. 8.6 et la référence).</w:t>
      </w:r>
    </w:p>
    <w:p>
      <w:r>
        <w:t>Or le recourant, âgé de plus de 52 ans au moment déterminant de la comparaison des revenus, présente des limitations fonctionnelles objectives dans les activités professionnelles adaptées décrites par la juridiction cantonale (pouvoir alterner les positions aux heures au moins, éviter les travaux de force avec le membre supérieur droit, éviter les mouvements répétitifs de plus de 50 % du temps de travail, éviter les mouvements d'élévation antérieure et d'abduction au-dessus de 70 degrés avec le membre supérieur droit) et qui ne sont nullement compensées par d'autres éléments personnels ou professionnels tels que la formation ou l'expérience professionnelle. En retenant un taux d'abattement de 5 %, l'office AI, puis l'autorité précédente, ont par conséquent sous-estimé les circonstances pouvant influer sur le revenu d'une activité lucrative dans une mesure qui excède le pouvoir d'appréciation qu'il convient de leur reconnaître. Une déduction globale de 15 % tient en l'occurrence mieux compte des circonstances pertinentes du cas d'espèce.</w:t>
      </w:r>
    </w:p>
    <w:p>
      <w:r>
        <w:rPr>
          <w:b/>
        </w:rPr>
        <w:t>E. 6</w:t>
      </w:r>
    </w:p>
    <w:p>
      <w:r>
        <w:t>Sur le vu de ce qui précède, il convient de corriger la comparaison des revenus à laquelle a procédé la juridiction cantonale. Aussi, compte tenu d'une déduction de 15 %, le revenu d'invalide du recourant se monte annuellement à 28'242 fr. 60. Comparé avec un revenu sans invalidité de 62'140 fr., le degré d'invalidité du recourant s'élève à 55 % (54.55 %). Selon l' art. 28 al. 2 LAI , un tel taux d'invalidité donne droit à une demi-rente d'invalidité.</w:t>
      </w:r>
    </w:p>
    <w:p>
      <w:r>
        <w:rPr>
          <w:b/>
        </w:rPr>
        <w:t>E. 7</w:t>
      </w:r>
    </w:p>
    <w:p>
      <w:r>
        <w:t>Ensuite des éléments qui précèdent, le recourant a partiellement gain de cause. Les frais judiciaires de la cause seront dès lors répartis par moitié entre les parties ( art. 66 al. 1 LTF ). Le recourant a par ailleurs droit à une indemnité réduite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