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9C_458/2013 vom 23. Januar 2014</w:t>
      </w:r>
    </w:p>
    <w:p>
      <w:r>
        <w:t>Bundesgericht, 2014-01-23, DE</w:t>
      </w:r>
    </w:p>
    <w:p>
      <w:r>
        <w:rPr>
          <w:b/>
        </w:rPr>
        <w:t xml:space="preserve">Quelle: </w:t>
      </w:r>
      <w:r>
        <w:t>https://mcp.opencaselaw.ch/entscheid/bger_9C_458_2013</w:t>
      </w:r>
    </w:p>
    <w:p>
      <w:r>
        <w:t>FR: TF 9C_458/2013 du 23 janvier 2014</w:t>
      </w:r>
    </w:p>
    <w:p>
      <w:r>
        <w:t>IT: TF 9C_458/2013 del 23 gennaio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unter Verweis auf die medizinischen Unterlagen, die Stellungnahmen des Regionalen Ärztlichen Dienstes vom 25. Mai 2011, 25. November 2011 und 25. Juli 2012 sowie die Erkenntnisse des psychiatrischen Fachgutachtens der Frau Dr. med. H.________ vom 23. Februar 2011 festgestellt, dass der Beschwerdeführer die Anspruchsvoraussetzungen zur Erteilung einer Invalidenrente weder vor der Begutachtung noch danach erfüllte. Vielmehr sei er seit dem Zeitpunkt der Exploration am 23. Februar 2011 für jegliche Tätigkeit ohne erhöhtes Unfallrisiko (wie Arbeiten in der Höhe, auf Gerüsten oder das Bedienen gefährlicher Maschinen) vollschichtig arbeitsfähig. Alle involvierten Ärzte hätten die psychische Situation als bestimmend für die Beschwerden und die Einschränkung der Leistungsfähigkeit gesehen.</w:t>
      </w:r>
    </w:p>
    <w:p>
      <w:r>
        <w:rPr>
          <w:b/>
        </w:rPr>
        <w:t>E. 2.2</w:t>
      </w:r>
    </w:p>
    <w:p>
      <w:r>
        <w:t>Bei den vorinstanzlichen Feststellungen zum Gesundheitszustand und zur Arbeitsfähigkeit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Die vorinstanzliche Feststellung über die somatischen Aspekte wird vom Beschwerdeführer nicht in Abrede gestellt. Was er gegen die weiteren Sachverhaltsfeststellungen vorbringt, hält nicht stand. Das Gutachten der Frau Dr. med. H.________, welches eine 80%ige Arbeitsfähigkeit attestiert, genügt den materiellen bundesrechtlichen Anforderungen an die Beweiskraft ( BGE 134 V 231 E. 5.1 S. 232; 125 V 351 E. 3a S. 352 mit Hinweis) : Es beruht auf eingehender Untersuchung des Beschwerdeführers und die Expertin berücksichtigte die medizinischen Unterlagen. Weiter hat die Gutachterin die Arbeitsfähigkeit zu Recht mit Blick auf die Rechtsprechung des Bundesgerichts zu den somatoformen Schmerzstörungen und ähnlichen Zuständen ( BGE 130 V 352 ) eingeschätzt (vgl. Urteil 8C_426/2011 vom 29. September 2011 E. 8.5; SVR 2008 IV Nr. 62 S. 203, 9C_830/2007 E. 4.2). Im Gutachten wird nachvollziehbar und einleuchtend dargelegt, dass die von Frau Dr. med. H.________ gestellte Diagnose der rezidivierenden depressiven Störung mit gegenwärtig leichtgradiger Episode ohne somatisches Syndrom sich nicht invalidisierend auswirkt. Eine Arbeitsunfähigkeit kommt sodann nur in Betracht, wenn die Schmerzstörung nach Einschätzung des Arztes eine derartige Schwere aufweist, dass der versicherten Person die Verwertung ihrer verbleibenden Arbeitskraft auf dem Arbeitsmarkt bei objektiver Betrachtung nicht mehr zumutbar ist. Im vorliegenden Fall fehlt es jedoch an einer begleitenden schwerwiegenden psychischen Erkrankung. Der psychische Gesundheitszustand erlaubt angepasste Arbeiten. Zudem erfolgte auch kein sozialer Rückzug in allen Belangen des Lebens, ein primärer Krankheitsgewinn ist nicht ersichtlich und auch das Kriterium unbefriedigender Behandlungsergebnisse ist nicht gegeben.</w:t>
      </w:r>
    </w:p>
    <w:p>
      <w:r>
        <w:rPr>
          <w:b/>
        </w:rPr>
        <w:t>E. 2.4</w:t>
      </w:r>
    </w:p>
    <w:p>
      <w:r>
        <w:t>Nach dem Gesagten sind die vorinstanzliche Beweiswürdigung und Sachverhaltsfeststellung nicht offensichtlich unrichtig, sie beruhen auch nicht auf einer Rechtsverletzung. Daher bleiben sie für das Bundesgericht verbindlich (E. 1).</w:t>
      </w:r>
    </w:p>
    <w:p>
      <w:r>
        <w:rPr>
          <w:b/>
        </w:rPr>
        <w:t>E. 3</w:t>
      </w:r>
    </w:p>
    <w:p>
      <w:r>
        <w:t>Dem Ausgang des Verfahrens entsprechend hat der Beschwerdeführer die Gerichtskosten zu tragen ( Art. 66 Abs. 1 BGG ). Seinem Gesuch um unentgeltliche Rechtspflege wird entsprochen ( Art. 64 Abs. 1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