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9C_456/2021 vom 22. Dezember 2021</w:t>
      </w:r>
    </w:p>
    <w:p>
      <w:r>
        <w:t>Bundesgericht, 2021-12-22, DE</w:t>
      </w:r>
    </w:p>
    <w:p>
      <w:r>
        <w:rPr>
          <w:b/>
        </w:rPr>
        <w:t xml:space="preserve">Quelle: </w:t>
      </w:r>
      <w:r>
        <w:t>https://mcp.opencaselaw.ch/entscheid/bger_9C_456_2021</w:t>
      </w:r>
    </w:p>
    <w:p>
      <w:r>
        <w:t>FR: TF 9C_456/2021 du 22 décembre 2021</w:t>
      </w:r>
    </w:p>
    <w:p>
      <w:r>
        <w:t>IT: TF 9C_456/2021 del 22 dicembre 2021</w:t>
      </w:r>
    </w:p>
    <w:p>
      <w:pPr>
        <w:pStyle w:val="Heading2"/>
      </w:pPr>
      <w:r>
        <w:t>Erwägungen</w:t>
      </w:r>
    </w:p>
    <w:p>
      <w:r>
        <w:rPr>
          <w:b/>
        </w:rPr>
        <w:t>E. 1.1</w:t>
      </w:r>
    </w:p>
    <w:p>
      <w:r>
        <w:t>Mit der Beschwerde in öffentlich-rechtlichen Angelegenheiten kann die Verletzung von Bundesrecht gerügt werden ( Art. 95 lit. a BGG ). Das Bundesgericht wendet das Recht von Amtes wegen an ( Art. 106 Abs. 1 BGG ). Es prüft unter Berücksichtigung der allgemeinen Rüge- und Begründungspflicht ( Art. 42 Abs. 2 BGG ) grundsätzlich nur die geltend gemachten Vorbringen, falls allfällige weitere rechtliche Mängel nicht geradezu offensichtlich sind ( BGE 143 I 377 E. 1.3; 141 V 234 E. 1).</w:t>
      </w:r>
    </w:p>
    <w:p>
      <w:r>
        <w:rPr>
          <w:b/>
        </w:rPr>
        <w:t>E. 1.2</w:t>
      </w:r>
    </w:p>
    <w:p>
      <w:r>
        <w:t>Ob die Eintretensvoraussetzungen des vorinstanzlichen Verfahrens gegeben waren, prüft das Bundesgericht von Amtes wegen und mit freier Kognition ( BGE 144 V 138 E. 4.1; 141 V 657 E. 3.4.1; 140 V 22 E. 4; Urteil 9C_814/2018 vom 23. Mai 2019 E. 1.2).</w:t>
      </w:r>
    </w:p>
    <w:p>
      <w:r>
        <w:rPr>
          <w:b/>
        </w:rPr>
        <w:t>E. 2</w:t>
      </w:r>
    </w:p>
    <w:p>
      <w:r>
        <w:t>Streitig ist der Anspruch auf Ergänzungsleistungen nach Bundesrecht (EL). Vorab zu prüfen ist, ob das kantonale Gericht Bundesrecht verletzte, als es seine örtliche Zuständigkeit bejahte und auf die Beschwerde des Versicherten vom 12. März 2020 eintrat.</w:t>
      </w:r>
    </w:p>
    <w:p>
      <w:r>
        <w:rPr>
          <w:b/>
        </w:rPr>
        <w:t>E. 3</w:t>
      </w:r>
    </w:p>
    <w:p>
      <w:r>
        <w:t>Gemäss Art. 58 Abs. 1 ATSG (in Verbindung mit Art. 1 ELG ) ist das Versicherungsgericht desjenigen Kantons zuständig, in dem die versicherte Person oder der Beschwerde führende Dritte zur Zeit der Beschwerdeerhebung Wohnsitz hat. In BGE 139 V 170 E. 5.3 hat das Bundesgericht bestätigt, dass zur Bestimmung der örtlichen Zuständigkeit an den Wohnsitz der versicherten Person anzuknüpfen ist.</w:t>
      </w:r>
    </w:p>
    <w:p>
      <w:r>
        <w:rPr>
          <w:b/>
        </w:rPr>
        <w:t>E. 4.1</w:t>
      </w:r>
    </w:p>
    <w:p>
      <w:r>
        <w:t>Die Vorinstanz erwog, der Versicherte habe seinen Wohnsitz im Zeitpunkt der Beschwerdeerhebung im Kanton Thurgau gehabt. Bei einer sich nur am Wortlaut des Art. 58 Abs. 1 ATSG orientierenden Auslegung müsste das Versicherungsgericht des Kantons St. Gallen seine örtliche Zuständigkeit somit verneinen, einen Nichteintretensentscheid erlassen und die Beschwerde an das Verwaltungsgericht des Kantons Thurgau als Versicherungsgericht überweisen. Die historische, systematische und teleologische Interpretation der genannten Bestimmung liessen für den vorliegenden Fall, in welchem der Versicherte seinen Wohnsitz nach der Einspracheerhebung, aber vor der Beschwerdeerhebung in einen anderen Kanton (vom Kanton St. Gallen in den Kanton Thurgau) verlegt habe, nur die Lösung zu, dass vom Wortlaut des Art. 58 Abs. 1 ATSG abgewichen werde und das Versicherungsgericht des Kantons St. Gallen örtlich zuständig sei.</w:t>
      </w:r>
    </w:p>
    <w:p>
      <w:r>
        <w:rPr>
          <w:b/>
        </w:rPr>
        <w:t>E. 4.2.1</w:t>
      </w:r>
    </w:p>
    <w:p>
      <w:r>
        <w:t>Im Urteil 9C_260/2018 vom 18. Dezember 2018 (in: SVR 2019 EL Nr. 7 S. 15) hat sich das Bundesgericht mit der von der Vorinstanz vertretenen Auffassung bereits einlässlich auseinandergesetzt (vgl. insbesondere E. 2.1 und 3.2; vgl. auch Urteil 9C_441/2018 vom 10. April 2019 E. 3.1). Demnach lassen sich aus dem Umstand, dass im Bereich der Ergänzungsleistungen ein wesentlicher Teil kantonal geregelt ist, keine Argumente zu Gunsten einer Änderung der Rechtsprechung nach BGE 139 V 170 (und BGE 143 V 363 ) gewinnen. Die formelle Frage der örtlichen Zuständigkeit kann nicht unter Berufung auf einzelne materielle Bestimmungen aus dem Ergänzungsleistungsrecht abweichend von der im ATSG getroffenen Lösung geregelt werden. Gestützt darauf hat das Bundesgericht das Vorliegen einer (unechten) Gesetzeslücke explizit verneint (vgl. zum Begriff BGE 141 V 481 E. 3 mit Hinweisen) und bestätigt, dass Art. 58 Abs. 1 ATSG die Zuständigkeit der kantonalen Versicherungsgerichte umfassend (integral) regelt.</w:t>
      </w:r>
    </w:p>
    <w:p>
      <w:r>
        <w:rPr>
          <w:b/>
        </w:rPr>
        <w:t>E. 4.2.2</w:t>
      </w:r>
    </w:p>
    <w:p>
      <w:r>
        <w:t>Die Ausführungen im angefochtenen Entscheid resp. in der Vernehmlassung der Vorinstanz vom 22. Oktober 2021 geben keinen Anlass, diese Rechtsprechung in Frage zu stellen (zu den Voraussetzungen für eine Praxisänderung BGE 143 IV 1 E. 5.2; 141 II 297 E. 5.5.1; 137 V 417 E. 2.2.2). Dies gilt umso mehr, als vorliegend einzig der Anspruch auf bundesrechtliche Ergänzungsleistungen Streitgegenstand bildet (E. 2; vgl. Urteil 9C_192/2019 vom 25. April 2019 E. 2.1 und 2.2). Auf Weiterungen kann daher verzichtet werden.</w:t>
      </w:r>
    </w:p>
    <w:p>
      <w:r>
        <w:rPr>
          <w:b/>
        </w:rPr>
        <w:t>E. 4.3</w:t>
      </w:r>
    </w:p>
    <w:p>
      <w:r>
        <w:t>Unbestrittenermassen hatte der Versicherte im Zeitpunkt der vorinstanzlichen Beschwerdeerhebung am 12. März 2020 Wohnsitz im Kanton Thurgau. Folglich ist in Anwendung von Art. 58 Abs. 1 ATSG das Verwaltungsgericht des Kantons Thurgau für die Beurteilung der Beschwerde zuständig. Indem das Versicherungsgericht des Kantons St. Gallen auf die Beschwerde eintrat, verletzte es Bundesrecht. Der angefochtene Entscheid ist daher aufzuheben und die Sache ist an das Verwaltungsgericht des Kantons Thurgau zu überweisen, damit dieses über die Beschwerde des Versicherten gegen den Einspracheentscheid vom 24. Februar 2020 befinde.</w:t>
      </w:r>
    </w:p>
    <w:p>
      <w:r>
        <w:rPr>
          <w:b/>
        </w:rPr>
        <w:t>E. 5</w:t>
      </w:r>
    </w:p>
    <w:p>
      <w:r>
        <w:t>Mit dem Entscheid in der Sache wird das Gesuch der Beschwerdeführerin um aufschiebende Wirkung gegenstandslos.</w:t>
      </w:r>
    </w:p>
    <w:p>
      <w:r>
        <w:rPr>
          <w:b/>
        </w:rPr>
        <w:t>E. 6</w:t>
      </w:r>
    </w:p>
    <w:p>
      <w:r>
        <w:t>Umständehalber wird auf die Erhebung der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