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9C_455/2021 vom 1. Dezember 2021</w:t>
      </w:r>
    </w:p>
    <w:p>
      <w:r>
        <w:t>Bundesgericht, 2021-12-01, FR</w:t>
      </w:r>
    </w:p>
    <w:p>
      <w:r>
        <w:rPr>
          <w:b/>
        </w:rPr>
        <w:t xml:space="preserve">Quelle: </w:t>
      </w:r>
      <w:r>
        <w:t>https://mcp.opencaselaw.ch/entscheid/bger_9C_455_2021</w:t>
      </w:r>
    </w:p>
    <w:p>
      <w:r>
        <w:t>FR: TF 9C_455/2021 du 1 décembre 2021</w:t>
      </w:r>
    </w:p>
    <w:p>
      <w:r>
        <w:t>IT: TF 9C_455/2021 del 1 dicembre 2021</w:t>
      </w:r>
    </w:p>
    <w:p>
      <w:pPr>
        <w:pStyle w:val="Heading2"/>
      </w:pPr>
      <w:r>
        <w:t>Erwägungen</w:t>
      </w:r>
    </w:p>
    <w:p>
      <w:r>
        <w:rPr>
          <w:b/>
        </w:rPr>
        <w:t>E. 1</w:t>
      </w:r>
    </w:p>
    <w:p>
      <w:r>
        <w:t>Le recours en matière de droit public (au sens des art. 82 ss LTF ) peut être formé pour violation du droit, tel qu'il est délimité par les art. 95 et 96 LTF . Le Tribunal fédéral applique le droit d'office ( art. 106 al. 1 LTF ). Il n'examine en principe que les griefs invoqués, compte tenu de l'exigence de motivation prévue à l' art. 42 al. 2 LTF . Il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la remise de l'obligation du recourant de restituer des prestations complémentaires perçues entre les 1er juin 2014 et 30 avril 2018 (43'878 francs), en particulier sur la condition de la bonne foi prévue à l' art. 25 al. 1 LPGA .</w:t>
      </w:r>
    </w:p>
    <w:p>
      <w:r>
        <w:rPr>
          <w:b/>
        </w:rPr>
        <w:t>E. 2.2</w:t>
      </w:r>
    </w:p>
    <w:p>
      <w:r>
        <w:t>L'acte attaqué expose les normes et la jurisprudence indispensables à la résolution du litige, singulièrement celles relatives à la restitution de prestations indûment touchées ( art. 25 al. 1 LPGA ; art. 4 et 5 OPGA ; ATF 138 V 218 consid. 4; 110 V 176 consid. 3d) et à la condition de la bonne foi en lien avec le devoir d'annoncer ( art. 31 al. 1 LPGA ; art. 24 OPC-AVS/AI ). Il suffit d'y renvoyer.</w:t>
      </w:r>
    </w:p>
    <w:p>
      <w:r>
        <w:rPr>
          <w:b/>
        </w:rPr>
        <w:t>E. 3</w:t>
      </w:r>
    </w:p>
    <w:p>
      <w:r>
        <w:t>Le Tribunal cantonal a confirmé le rejet de la demande de remise de l'obligation de restituer, au motif que la condition de la bonne foi n'était en l'occurrence pas remplie. Il a constaté pour l'essentiel que depuis 2014, l'assuré n'avait nullement jugé utile de signaler à la caisse qu'il avait déménagé chez son fils dès le 15 mai 2014, qu'il percevait des loyers pour la location de son propre logement depuis juin 2014 et que sa belle-fille était ensuite venue vivre dans le logement commun, alors qu'il s'agissait de faits influençant la pondération de la participation au logement et donc les dépenses du recourant et de son épouse. Or vu ces importants changements, dont l'importance ne pouvait pas être ignorée du recourant, les calculs de prestations complémentaires qui lui avaient été notifiés étaient manifestement erronés. Le recourant avait donc fait preuve de négligence grave en omettant de les communiquer.</w:t>
      </w:r>
    </w:p>
    <w:p>
      <w:r>
        <w:rPr>
          <w:b/>
        </w:rPr>
        <w:t>E. 4.1</w:t>
      </w:r>
    </w:p>
    <w:p>
      <w:r>
        <w:t>Le recourant fait principalement valoir qu'il avait indiqué son changement d'adresse à la caisse à la fin de l'année 2016, ce qui aurait à tout le moins dû pousser celle-ci à l'interroger sur sa nouvelle situation locative. Au vu de sa faible connaissance du français et de son faible niveau de formation, il n'aurait pour le surplus pas pu se rendre compte que le changement de sa situation personnelle allait avoir une conséquence sur son droit aux prestations. On ne saurait donc lui reprocher un manque de bonne foi. Si on devait lui reprocher d'avoir agi de manière négligente, sa négligence serait à qualifier de légère, ouvrant ainsi la voie à une remise.</w:t>
      </w:r>
    </w:p>
    <w:p>
      <w:r>
        <w:rPr>
          <w:b/>
        </w:rPr>
        <w:t>E. 4.2.1</w:t>
      </w:r>
    </w:p>
    <w:p>
      <w:r>
        <w:t>Dans le contexte de calculs erronés de prestations complémentaires, la personne assurée ne peut pas se prévaloir de sa bonne foi si elle a omis de contrôler ou a contrôlé de manière peu soigneuse la feuille de calcul et ne constate pas, de ce fait, une erreur facilement décelable (cf. par exemple arrêt 9C_318/2021 du 21 septembre 2021 consid. 3.2 et les arrêts cités). Constitue une question de fait celle de savoir si la personne assurée avait effectivement connaissance de l'erreur. En revanche, l'examen de l'attention exigible d'un ayant droit qui invoque sa bonne foi relève du droit et le Tribunal fédéral revoit librement ce point ( art. 3 al. 2 CC ; ATF 122 V 221 consid. 3; arrêt 9C_318/2021 précité consid. 3.3 et les références).</w:t>
      </w:r>
    </w:p>
    <w:p>
      <w:r>
        <w:rPr>
          <w:b/>
        </w:rPr>
        <w:t>E. 4.2.2</w:t>
      </w:r>
    </w:p>
    <w:p>
      <w:r>
        <w:t>Comme l'a reconnu à juste titre la juridiction cantonale, le recourant ne pouvait pas, en l'espèce, ignorer l'influence de sa situation locative sur le calcul des prestations complémentaires, en faisant preuve de l'attention requise de sa part, examinée à l'aune de ce qui peut raisonnablement être exigé d'une personne capable de discernement dans une situation identique et dans les mêmes circonstances ( ATF 110 V 176 consid. 3d; SYLVIE PÉTREMAND, Commentaire romand, Loi sur la partie générale des assurances sociales, 2018, ch. 63 ss ad art. 25). En effet, tant la demande initiale qu'il avait remplie que le formulaire qui lui avait été adressé dans le cadre d'une révision périodique en début de l'année 2014 comprenaient une rubrique relative au logement. Par ailleurs, le recourant n'a pas non plus réagi pendant plusieurs années consécutives à réception des feuilles de calcul respectives, alors que celles-ci étaient manifestement et de façon reconnaissable fondées sur un état de fait qui ne correspondait plus à la réalité depuis le mois de juin 2014. En particulier, le recourant aurait, même s'il n'avait qu'une faible connaissance du français et un niveau de formation peu élevé, dû s'apercevoir du fait que les loyers perçus depuis le mois de juin 2014 pour la location de son propre appartement n'y figuraient pas sous la rubrique des revenus. La négligence dont il a fait preuve dans le contrôle des feuilles de calcul ne saurait dès lors être qualifiée de légère. A cet égard, il ne saurait invoquer avec succès "la mauvaise administration de la caisse" parce que celle-ci aurait dû réagir notamment lorsqu'un courrier adressé à l'ancienne adresse le 27 juillet 2015 lui était revenu avec la mention d'un déménagement. Nonobstant le moment à partir duquel l'intimée a eu connaissance du changement d'adresse, cet élément ne libérait pas le recourant de son obligation d'annoncer les nouveaux revenus résultant de la location de son appartement - soit un changement de sa situation économique - voire de vérifier les feuilles de calcul régulièrement reçues.</w:t>
      </w:r>
    </w:p>
    <w:p>
      <w:r>
        <w:t>En conséquence, la juridiction cantonale n'a pas violé l' art. 25 LPGA en retenant une négligence grave du recourant et en confirmant que les conditions d'une remise n'étaient pas réalisées. Pour le surplus, il suffit de se référer aux motifs du jugement attaqué ( art. 109 al. 3 LTF ).</w:t>
      </w:r>
    </w:p>
    <w:p>
      <w:r>
        <w:rPr>
          <w:b/>
        </w:rPr>
        <w:t>E. 5</w:t>
      </w:r>
    </w:p>
    <w:p>
      <w:r>
        <w:t>Le présent arrêt rend sans objet la requête d'effet suspensif.</w:t>
      </w:r>
    </w:p>
    <w:p>
      <w:r>
        <w:rPr>
          <w:b/>
        </w:rPr>
        <w:t>E. 6</w:t>
      </w:r>
    </w:p>
    <w:p>
      <w:r>
        <w:t>Manifestement infondé, le recours doit être rejeté selon la procédure simplifiée de l' art. 109 al. 2 let. a LTF . Vu l'issue du litige, les frais judiciaires doivent être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