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452/2017 vom 6. Februar 2018</w:t>
      </w:r>
    </w:p>
    <w:p>
      <w:r>
        <w:t>Bundesgericht, 2018-02-06, IT</w:t>
      </w:r>
    </w:p>
    <w:p>
      <w:r>
        <w:rPr>
          <w:b/>
        </w:rPr>
        <w:t xml:space="preserve">Quelle: </w:t>
      </w:r>
      <w:r>
        <w:t>https://mcp.opencaselaw.ch/entscheid/bger_9C_452_2017</w:t>
      </w:r>
    </w:p>
    <w:p>
      <w:r>
        <w:t>FR: TF 9C 452/2017 du 6 février 2018</w:t>
      </w:r>
    </w:p>
    <w:p>
      <w:r>
        <w:t>IT: TF 9C 452/2017 del 6 febbraio 2018</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sull'accertamento dei fatti svolto dall'autorità inferiore ( art. 105 cpv. 1 LTF ) e vi si può scostare solo se è stato eseguito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La lite verte sul diritto del ricorrente a una rendita d'invalidità nel quadro di una procedura di riconsiderazione ai sensi dell' art. 53 cpv. 2 LPGA , segnatamente sulla soppressione con effetto retroattivo al 30 aprile 2011 della rendita d'invalidità del 50 % concessagli dal 1° maggio 2005.</w:t>
      </w:r>
    </w:p>
    <w:p>
      <w:r>
        <w:rPr>
          <w:b/>
        </w:rPr>
        <w:t>E. 2.2</w:t>
      </w:r>
    </w:p>
    <w:p>
      <w:r>
        <w:t>Nei considerandi del giudizio impugnato, il Tribunale cantonale ha già esposto le norme e la prassi in materia, rammentando in particolare i presupposti e gli effetti di una riconsiderazione di una decisione formalmente passata in giudicato ( art. 53 cpv. 2 LPGA ). A tale esposizione può essere fatto riferimento e prestata adesione.</w:t>
      </w:r>
    </w:p>
    <w:p>
      <w:r>
        <w:rPr>
          <w:b/>
        </w:rPr>
        <w:t>E. 3.1</w:t>
      </w:r>
    </w:p>
    <w:p>
      <w:r>
        <w:t>Il Tribunale cantonale ha dapprima constatato che, dal punto di vista dello stato di salute, non vi era stata una sostanziale modifica della capacità lavorativa dell'interessato da quando gli era stato riconosciuto il diritto alla mezza rendita d'invalidità. Il giudice cantonale ha in seguito considerato che i presupposti per una riconsiderazione fossero realizzati in quanto gli accertamenti eseguiti avevano permesso di constatare l'errore manifesto commesso dall'UAI nel definire il grado d'invalidità mediante il metodo del confronto percentuale allorquando, in quel frangente, il ricorrente non presentava un'incapacità al guadagno, il discapito economico reale essendo minore dell'inabilità medico-teorica del 50 %. Il Tribunale cantonale ha in seguito analizzato se dall'assegnazione della prestazione fossero intervenute modifiche della situazione giuridicamente rilevante idonee a giustificare il mantenimento della rendita alle condizioni precedentemente ammesse. In applicazione del metodo ordinario del raffronto dei redditi la Corte cantonale è giunta a un grado d'invalidità non pensionabile del 26 %. La Corte cantonale ha dunque concluso che a giusta ragione l'UAI aveva soppresso la mezza rendita d'invalidità come da decisione del 2 marzo 2011.</w:t>
      </w:r>
    </w:p>
    <w:p>
      <w:r>
        <w:rPr>
          <w:b/>
        </w:rPr>
        <w:t>E. 3.2</w:t>
      </w:r>
    </w:p>
    <w:p>
      <w:r>
        <w:t>Il ricorrente censura alla Corte cantonale di avere ritenuto un errore manifesto nella decisione impugnata, con la conseguenza di un'assenza di presupposti per una riconsiderazione nel 2011. A mente del ricorrente il metodo di confronto percentuale è stato adottato sin dall'inizio a giusta ragione: nessun errore sulla scelta di tale metodo è pertanto dato. In subordine, il ricorrente afferma che se "si volesse ammettere che vi sono i presupposti per una riconsiderazione del metodo di raffronto percentuale, anche sulla base di un raffronto dei redditi da valido e invalido si giunge alla conclusione che la mezza rendita è ancora giustificata" (memoriale di ricorso, pag. 4).</w:t>
      </w:r>
    </w:p>
    <w:p>
      <w:r>
        <w:rPr>
          <w:b/>
        </w:rPr>
        <w:t>E. 4</w:t>
      </w:r>
    </w:p>
    <w:p>
      <w:r>
        <w:t>Conformemente all' art. 53 cpv. 2 LPGA in relazione all' art. 2 LPGA e all' art. 1 cpv. 1 LAI , l'amministrazione può, in ogni momento, tornare sulle decisioni formalmente passate in giudicato, che non sono state oggetto di un controllo giudiziario, se è provato che erano manifestamente errate e che la loro rettifica ha una notevole importanza. Per determinarlo, ci si fonderà sulla situazione in vigore al momento della sua pronuncia, prendendo in considerazione la prassi allora in vigore ( DTF 125 V 383 consid. 3 pag. 389 con riferimenti, cfr. pure sentenza 9C_413/2017 del 19 settembre 2017 consid. 2.2.1). La riconsiderazione persegue lo scopo di correggere un'applicazione giuridica iniziale errata, compreso un accertamento errato dei fatti, nel senso di una valutazione degli stessi (cfr. su tale tema DTF 117 V 8 consid. 2c pag. 17 con riferimenti; sentenza 9C_362/2017 dell'8 agosto 2017 consid. 2.1). Un atto dell'amministrazione è manifestamente errato quando è stato preso sulla base di norme giuridiche erronee o in applicazione inappropriata di norme fondamentali (cfr. sentenza 9C_184/2016 del 27 maggio 2016 consid. 4.3), come pure quando non sussiste alcun dubbio ragionevole circa il carattere erroneo della decisione iniziale (cfr. DTF 141 V 405 consid. 5.2 pag. 414 e 138 V 324 consid. 3.3 pag. 328). Nemmeno è dato un errore manifesto quando il versamento della prestazione dipende da condizioni materiali la cui valutazione implica un potere d'apprezzamento, in relazione a taluni aspetti o elementi, e che la decisione appare ammissibile tenuto conto della situazione di fatto e di diritto (cfr. DTF 141 V 405 consid. 5.2 pag. 414 seg.).</w:t>
      </w:r>
    </w:p>
    <w:p>
      <w:r>
        <w:rPr>
          <w:b/>
        </w:rPr>
        <w:t>E. 5.1</w:t>
      </w:r>
    </w:p>
    <w:p>
      <w:r>
        <w:t>Dagli accertamenti del Tribunale cantonale emerge che al momento della determinazione del diritto alla rendita d'invalidità a seguito della richiesta del maggio 2005, il ricorrente lavorava stabilmente dal 2001 come tecnico edile presso la ditta B.________ SA, occupandosi della gestione della parte tecnica dell'azienda. Dal punto di vista valetudinario il dott. N. C.________ del Servizio medico regionale dell'UAI e il perito dott. C. D.________, specialista FMH in medicina interna e gastroenterologia, cui era stata conferita la perizia gastroenterologa, avevano stabilito un'incapacità lavorativa del 50 % nell'abituale professione di tecnico edile del ricorrente, che era anche stata ritenuta la più idonea dal punto di vista medico (cfr. perizia dott. C. D.________ del 22 maggio 2006 e suo complemento del 9 ottobre 2006, come pure in particolare l'annotazione del 10 ottobre 2006 del dott. N. C.________). Considerate queste circostanze, l'amministrazione aveva deciso di determinare il grado d'invalidità con il metodo del confronto percentuale ("Prozentvergleich"; su tale tema cfr. DTF 114 V 310 consid. 3a pag. 313 con riferimenti, come pure cfr. sentenza 9C_627/2017 dell'11 dicembre 2017 consid. 4.2 con riferimenti), in luogo di quello ordinario di raffronto dei redditi ( art. 16 LPGA ; cfr. DTF 137 V 334 consid. 3.1.1 pag. 337). L'UAI aveva optato espressamente per tale metodo, ritenendo il risultato sufficientemente affidabile. Prova della correttezza della scelta ritenuta dall'UAI è che nell'incarto AI figura pure un calcolo, effettuato il 16 ottobre 2006, del grado d'invalidità mediante metodo di raffronto dei redditi da cui risulta una capacità di guadagno residua del 44.31 %, che aprirebbe comunque il diritto a una mezza rendita d'invalidità. L'UAI nella decisione di attribuzione della mezza rendita d'invalidità, considerato soprattutto che l'abituale attività professionale era stata ritenuta la più idonea da un punto di vista medico e che l'attuale capacità di guadagno residua non era comunque incrementabile in un'altra attività lavorativa svolta in misura del 50 % aveva però optato per il metodo del confronto percentuale. Conformemente alla giurisprudenza menzionata al consid. 4, non si è dunque in presenza di un errore manifesto della decisione di concessione della mezza rendita d'invalidità. Il Tribunale cantonale, accertando la presenza di un errore manifesto, ha dunque violato il diritto federale constatando come le condizioni della riconsiderazione fossero date.</w:t>
      </w:r>
    </w:p>
    <w:p>
      <w:r>
        <w:rPr>
          <w:b/>
        </w:rPr>
        <w:t>E. 5.2</w:t>
      </w:r>
    </w:p>
    <w:p>
      <w:r>
        <w:t>A titolo abbondanziale si rileva altresì che, considerato che le condizioni dell' art. 53 cpv. 2 LPGA non sono realizzate, non è necessario analizzare se dal momento dell'assegnazione della prestazione siano intervenute le modifiche della situazione, così come invece effettuato dalla Corte cantonale (cfr. consid. 2.5.2 pag 12 e considerandi successivi del giudizio impugnato).</w:t>
      </w:r>
    </w:p>
    <w:p>
      <w:r>
        <w:rPr>
          <w:b/>
        </w:rPr>
        <w:t>E. 6</w:t>
      </w:r>
    </w:p>
    <w:p>
      <w:r>
        <w:t>Visto quanto sopra esposto, il ricorso deve essere accolto. Le spese giudiziarie seguono la soccombenza ( art. 66 cpv. 1 LTF ) e sono poste a carico dell'opponente. Il ricorrente ha diritto a un'indennità per le spese ripetibili a carico dell'opponente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