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9C_451/2014 vom 17. Dezember 2014</w:t>
      </w:r>
    </w:p>
    <w:p>
      <w:r>
        <w:t>Bundesgericht, 2014-12-17, DE</w:t>
      </w:r>
    </w:p>
    <w:p>
      <w:r>
        <w:rPr>
          <w:b/>
        </w:rPr>
        <w:t xml:space="preserve">Quelle: </w:t>
      </w:r>
      <w:r>
        <w:t>https://mcp.opencaselaw.ch/entscheid/bger_9C_451_2014</w:t>
      </w:r>
    </w:p>
    <w:p>
      <w:r>
        <w:t>FR: TF 9C_451/2014 du 17 décembre 2014</w:t>
      </w:r>
    </w:p>
    <w:p>
      <w:r>
        <w:t>IT: TF 9C_451/2014 del 17 dicembre 2014</w:t>
      </w:r>
    </w:p>
    <w:p>
      <w:pPr>
        <w:pStyle w:val="Heading2"/>
      </w:pPr>
      <w:r>
        <w:t>Erwägungen</w:t>
      </w:r>
    </w:p>
    <w:p>
      <w:r>
        <w:rPr>
          <w:b/>
        </w:rPr>
        <w:t>E. 1.1</w:t>
      </w:r>
    </w:p>
    <w:p>
      <w:r>
        <w:t>Der angefochtene Entscheid wurde von einer Vorinstanz des Bundesgerichts ( Art. 86 Abs. 1 lit. a BGG ) gestützt auf Art. 74 BVG getroffen. Im zugrunde liegenden Konflikt geht es um die Fragen, ob der Stiftungsfonds der Aufsicht nach Art. 61 ff. BVG untersteht und ob weitere Bestimmungen des BVG betreffend Vermögensanlage und Liquidation resp. Information auf ihn anwendbar sind; beides ist berufsvorsorgerechtlicher Natur (vgl. BGE 138 V 346 ; 420). Daher ist die zweite sozialrechtliche Abteilung für die Beurteilung eines damit zusammenhängenden Zwischenentscheides zuständig ( Art. 22 BGG in Verbindung mit Art. 35 lit. e des Reglements für das Bundesgericht vom 20. November 2006 [BGerR; SR 173.110.131]).</w:t>
      </w:r>
    </w:p>
    <w:p>
      <w:r>
        <w:rPr>
          <w:b/>
        </w:rPr>
        <w:t>E. 1.2</w:t>
      </w:r>
    </w:p>
    <w:p>
      <w:r>
        <w:t>Gegenstand des angefochtenen Entscheids bilden einzig die rechtliche Qualifikation des Stiftungsfonds und die (sachliche) Zuständigkeit für die Beurteilung der Beschwerde gegen die Verfügung vom 3. April 2013. Soweit die Anträge des Beschwerdeführers darüber hinausgehen, sind sie von vornherein unzulässig (vgl. BGE 125 V 413 E. 1a S. 414). Das betrifft in concreto die "Hauptanträge 2", die mit den Rechtsbegehren Ziff. 1 bis 4 des vorinstanzlichen Verfahrens identisch sind. Die geltend gemachte Prozessökonomie, der ohne Begründung "grundrechtliche Qualität" beigemessen wird (vgl. Art. 106 Abs. 2 BGG ), ändert nichts am gesetzlich (vgl. Art. 86 Abs. 1 BGG ) und somit verbindlich ( Art. 188 Abs. 2 und Art. 190 BV ) vorgegebenen Instanzenzug.</w:t>
      </w:r>
    </w:p>
    <w:p>
      <w:r>
        <w:t>Die Vorinstanz hat mit einem selbstständig eröffneten Vor- resp. Zwischenentscheid ihre eigene Zuständigkeit bejaht. Dagegen ist die Beschwerde zulässig ( Art. 92 Abs. 1 BGG ). Mit der Feststellung betreffend die rechtliche Qualifikation des Beschwerdeführers hat die Vorinstanz nicht über die Rechtsbegehren des vorinstanzlichen Verfahrens entschieden.</w:t>
      </w:r>
    </w:p>
    <w:p>
      <w:r>
        <w:rPr>
          <w:b/>
        </w:rPr>
        <w:t>E. 1.3</w:t>
      </w:r>
    </w:p>
    <w:p>
      <w:r>
        <w:t>Die Anordnung einer mündlichen Parteiverhandlung liegt im freien Ermessen des Abteilungspräsidenten ( Art. 57 BGG ). Eine mündliche Urteilsberatung ist nur durchzuführen, wenn es der Abteilungspräsident anordnet, wenn ein Bundesrichter oder eine Bundesrichterin es verlangt oder wenn sich auf dem Weg der Aktenzirkulation keine Einigkeit ergibt ( Art. 58 BGG ). Für die beantragte "öffentliche Hauptverhandlung" besteht in concreto keine Veranlassung.</w:t>
      </w:r>
    </w:p>
    <w:p>
      <w:r>
        <w:rPr>
          <w:b/>
        </w:rPr>
        <w:t>E. 2.1</w:t>
      </w:r>
    </w:p>
    <w:p>
      <w:r>
        <w:t>Die Vorinstanz hat den Stiftungsfonds aufgrund seines in der Stiftungsurkunde festgehaltenen Zwecks und der statutarischen Bestimmungen als patronalen Wohlfahrtsfonds ohne reglementarische Leistungsverpflichtungen qualifiziert. Dieser Auffassung pflichtet auch der Beschwerdeführer bei, und zwar zu Recht (vgl. BGE 138 V 346 E. 3.1.1 S. 349 mit Hinweisen). Weiter steht fest und ist unbestritten, dass Anfechtungsobjekt im vorinstanzlichen Verfahren eine Verfügung (vgl. Art. 5 VwVG [SR 172.021]) ist, die die BVS gestützt auf Bestimmungen des BVG und in ihrer Eigenschaft als Aufsichtsbehörde im Sinne von Art. 61 BVG erliess (vgl. Art. 33 lit. i VGG [SR 173.32]). Solche Verfügungen können laut Art. 74 Abs. 1 BVG mit Beschwerde beim Bundesverwaltungsgericht angefochten werden.</w:t>
      </w:r>
    </w:p>
    <w:p>
      <w:r>
        <w:rPr>
          <w:b/>
        </w:rPr>
        <w:t>E. 2.2.1</w:t>
      </w:r>
    </w:p>
    <w:p>
      <w:r>
        <w:t>Nach Art. 89a Abs. 6 Ziff. 12 und 19 ZGB gelten u.a. die Bestimmungen des BVG über die Aufsicht ( Art. 61-62a BVG ) und die Rechtspflege ( Art. 74 BVG ) auch für nicht registrierte (vgl. Art. 48 Abs. 1 BVG ) "Personalfürsorgestiftungen, die auf dem Gebiet der Alters-, Hinterlassenen- und Invalidenvorsorge tätig sind". Von einer Vorsorgeeinrichtung in diesem Sinne abzugrenzen sind patronale Wohlfahrtsfonds mit blossen Ermessensleistungen. Auf solche ist der zivilrechtliche Verweis analog anzuwenden, wenn und soweit die BVG-Normen mit ihrem Charakter vereinbar sind ( BGE 140 V 304 E. 4.1 S. 308 f.; 138 V 346 E. 3.1 S. 348 ff. und E. 4.5 S. 354 f.).</w:t>
      </w:r>
    </w:p>
    <w:p>
      <w:r>
        <w:rPr>
          <w:b/>
        </w:rPr>
        <w:t>E. 2.2.2</w:t>
      </w:r>
    </w:p>
    <w:p>
      <w:r>
        <w:t>Nebst anderen Bestimmungen des BVG (vgl. etwa BGE 138 V 420 E. 2 S. 422; 502 E. 6.1 S. 507, je mit Hinweisen; vgl. auch die Zusammenfassung von SCHNEIDER/MEIER, Les fondations patronales de prévoyance: actualités jurisprudentielles et législatives, SZS 2014 S. 425 ff.) sind jene betreffend die Aufsicht einer Analogie ohne weiteres zugänglich. Zum einen sind auch klassische Stiftungen der Stiftungsaufsicht ( Art. 84 Abs. 2 ZGB ) unterstellt. Zum andern hat die Beziehungsnähe von patronalen Wohlfahrtsfonds zu den Personalfürsorgestiftungen in diesem Zusammenhang klar Übergewicht. Es bleibt höchstens noch die - hier jedoch nicht zu beantwortende - Frage nach der inhaltlichen Ausgestaltung der Aufsicht von derartigen Wohlfahrtseinrichtungen ( CHRISTINA RUGGLI-WÜEST, Wohlfahrtsfonds heute: Ein Auslaufmodell, oder ...?, in: BVG-Tagung 2009, Schaffhauser/Stauffer [Hrsg.], S. 166). Ebenso wenig bietet die Rechtspflegebestimmung Schwierigkeiten. Konsequenz der analogen Anwendung von Art. 61 und 62 BVG ist, dass die Aufsicht (weiterhin) unter Art. 74 BVG fällt. Sind Entscheidungen der Aufsichtsbehörde gerichtlich zu überprüfen, gibt die enge Verknüpfung von patronalen Wohlfahrtsfonds mit der beruflichen Vorsorge auch für die rechtliche Beurteilung der Zulässigkeit und Angemessenheit der Massnahmen den Ausschlag ( BGE 140 V 304 E. 4.2 S. 309; 138 V 346 E. 4.6 S. 355).</w:t>
      </w:r>
    </w:p>
    <w:p>
      <w:r>
        <w:rPr>
          <w:b/>
        </w:rPr>
        <w:t>E. 2.3</w:t>
      </w:r>
    </w:p>
    <w:p>
      <w:r>
        <w:t>Gegen diese Rechtsprechung bringt der Beschwerdeführer nichts vor. Er macht im Wesentlichen geltend, die "klassische" Stiftung sei das Vehikel der patronalen Fürsorge; diese unterstehe dem Zivilrecht resp. der kantonalen Aufsicht, zumal sie keine prämienfinanzierte Leistungen, versicherte Risiken und einklagbare Leistungsansprüche haben. Zwar entschied das Bundesgericht, dass die kantonalen Berufsvorsorgegerichte gemäss Art. 73 BVG nicht zuständig sind für die Beurteilung von "Streitigkeiten patronaler Wohlfahrtsstiftungen" (vgl. zu diesem Begriff BGE 140 V 304 E. 4.4.1 S. 312 f.). In dieser Hinsicht entsprechen patronale Wohlfahrtsfonds ausgeprägt (er) rein vermögensrechtlichen Stiftungen im Sinne von Art. 80-89 ZGB ( BGE 138 V 346 E. 4.6 in fine S. 355; 130 V 80 E. 3.3.3 S. 85). Insofern trug das Bundesgericht dem Charakter von Wohlfahrtsstiftungen Rechnung. Das ändert indessen nichts daran, dass mit Blick auf ihren Zweck und in Bezug auf die hier interessierenden Aspekte der Aufsicht und der diesbezüglichen Rechtspflege die Nähe zu Personalfürsorgestiftungen im Sinne von Art. 89a Abs. 6 ZGB überwiegt. Wie das Bundesgericht in BGE 140 V 304 E. 4.1 S. 309 festgehalten hat, ist zwischen Streitigkeiten in aufsichtsrechtlichen Belangen und anderen "Streitigkeiten mit patronalen Wohlfahrtsstiftungen" zu unterscheiden.</w:t>
      </w:r>
    </w:p>
    <w:p>
      <w:r>
        <w:t>Die vom Bundesgericht vertretene Auffassung (E. 2.2) teilt de lege ferenda bislang auch der Gesetzgeber: Laut dem Bericht der Kommission für soziale Sicherheit und Gesundheit des Nationalrates vom 26. Mai 2014 zur parlamentarischen Initiative Stärkung der Wohlfahrtsfonds mit Ermessensleistungen (BBl 2014 6143) und dem entsprechendem Entwurf (BBl 2014 6165) ist geplant, Art. 89a ZGB insofern abzuändern, als dessen Abs. 6 künftig lediglich für Personalfürsorgestiftungen mit reglementarischen Leistungen, die dem FZG (SR 831.42) unterstellt sind, gelten soll. Im Gegenzug sollen neu Abs. 7 und 8 eingefügt werden, die explizit auf patronale Wohlfahrtsfonds mit Ermessensleistungen zugeschnitten sind. Die Liste der auf solche anwendbaren BVG-Bestimmungen soll auch jene über die Aufsicht ( Art. 61-62a BVG ) und die Rechtspflege ( Art. 73 und 74 BVG ) enthalten (BBl 2014 6151 Ziff. 3.1, 6152 Ziff. 3.2.1, 6156 Ziff. 3.2.8 und 6157 Ziff. 3.2.12; vgl. auch die Stellungnahme des Bundesrates vom 20. August 2014 zum Bericht vom 26. Mai 2014, BBl 2014 6656 Ziff. 3 und SCHNEIDER/MEIER, a.a.O., S. 431, 436 und 447). Für eine Änderung der in E. 2.2 dargelegten Rechtsprechung (vgl. zu den Voraussetzungen BGE 138 III 359 E. 6.1 S. 361; 137 V 282 E. 4.2 S. 291; 134 V 72 E. 3.3 S. 76) ist kein Grund ersichtlich.</w:t>
      </w:r>
    </w:p>
    <w:p>
      <w:r>
        <w:rPr>
          <w:b/>
        </w:rPr>
        <w:t>E. 2.4</w:t>
      </w:r>
    </w:p>
    <w:p>
      <w:r>
        <w:t>Angesichts der klaren Rechtslage steht fest, dass der Stiftungsfonds der Aufsicht durch die Behörde gemäss Art. 61 BVG untersteht und dass das Bundesverwaltungsgericht für die Beurteilung der Beschwerde gegen deren Verfügung vom 3. April 2013 zuständig ist. Die Beschwerde in öffentlich-rechtlichen Angelegenheiten ist unbegründet.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