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44/2021 vom 23. September 2021</w:t>
      </w:r>
    </w:p>
    <w:p>
      <w:r>
        <w:t>Bundesgericht, 2021-09-23, FR</w:t>
      </w:r>
    </w:p>
    <w:p>
      <w:r>
        <w:rPr>
          <w:b/>
        </w:rPr>
        <w:t xml:space="preserve">Quelle: </w:t>
      </w:r>
      <w:r>
        <w:t>https://mcp.opencaselaw.ch/entscheid/bger_9C_44_2021</w:t>
      </w:r>
    </w:p>
    <w:p>
      <w:r>
        <w:t>FR: TF 9C 44/2021 du 23 septembre 2021</w:t>
      </w:r>
    </w:p>
    <w:p>
      <w:r>
        <w:t>IT: TF 9C 44/2021 del 23 settembre 2021</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et les références).</w:t>
      </w:r>
    </w:p>
    <w:p>
      <w:r>
        <w:rPr>
          <w:b/>
        </w:rPr>
        <w:t>E. 2</w:t>
      </w:r>
    </w:p>
    <w:p>
      <w:r>
        <w:t>Compte tenu des motifs et conclusions du recours, est seul litigieux en instance fédérale le point de savoir si la juridiction cantonale était en droit de remplacer la rente entière d'invalidité qu'elle a allouée à l'assurée depuis le 1er mai 2016 par une demi-rente dès le 11 octobre 2017, sans avoir au préalable examiné la nécessité de mettre en oeuvre des mesures de réadaptation. Les constatations de la juridiction cantonale quant à la capacité de travail de la recourante (nulle dans toute activité dès mai 2015, puis de 80 %, avec une diminution de rendement de 10 %, dans une activité adaptée, pour la période postérieure à l'expertise du docteur C.________ du 10 octobre 2017) et aux degrés d'invalidité successifs présentés par la recourante ne sont pas contestées par les parties.</w:t>
      </w:r>
    </w:p>
    <w:p>
      <w:r>
        <w:rPr>
          <w:b/>
        </w:rPr>
        <w:t>E. 3.1</w:t>
      </w:r>
    </w:p>
    <w:p>
      <w:r>
        <w:t>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arrêt 9C_276/2020 du 18 décembre 2020 consid. 6 et les arrêts cités).</w:t>
      </w:r>
    </w:p>
    <w:p>
      <w:r>
        <w:rPr>
          <w:b/>
        </w:rPr>
        <w:t>E. 3.2</w:t>
      </w:r>
    </w:p>
    <w:p>
      <w:r>
        <w:t>La recourante, née en février 1960, avait 55 ans révolus tant au moment où les premiers juges lui ont reconnu le droit à une rente entière d'invalidité du 1er mai 2016 au 10 octobre 2017, puis à une demi-rente d'invalidité (le 14 décembre 2020), qu'à celui à partir duquel la réduction du droit à la rente a été fixée (en octobre 2017), si bien que la question de savoir à quel moment la condition afférente à l'âge doit être remplie (date de la limitation du droit à la prestation, date à laquelle la décision a été rendue, ou date où les constatations médicales déterminantes figurent au dossier) peut en l'espèce être laissée ouverte (comme déjà dans l' ATF 145 V 209 consid. 5.4 in fine et les arrêts 8C_648/2019 du 4 juin 2020 consid. 5.1 et 9C_574/2019 du 16 octobre 2019 consid. 3.2, notamment). La recourante a donc droit à ce que le besoin de mesures de réadaptation soit examiné avant la diminution de son droit à une rente entière à une demi-rente. Cet examen n'a pas été effectué par la juridiction cantonale. En particulier, toute constatation sur l'exigibilité d'une réadaptation par soi-même (exceptionnelle) fait défaut. La cause doit dès lors être renvoyée à l'office AI pour qu'il vérifie l'octroi de mesures d'ordre professionnel à l'assurée. Il y a ainsi lieu d'annuler l'arrêt attaqué en tant qu'il porte sur la diminution du droit à la rente entière d'invalidité à une demi-rente au 11 octobre 2017. Le recours est bien fondé.</w:t>
      </w:r>
    </w:p>
    <w:p>
      <w:r>
        <w:rPr>
          <w:b/>
        </w:rPr>
        <w:t>E. 4</w:t>
      </w:r>
    </w:p>
    <w:p>
      <w:r>
        <w:t>L'intimé, qui succombe, supportera les frais de la procédure ( art. 66 al. 1 LTF ), ainsi que les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