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9C_44/2013 vom 24. April 2013</w:t>
      </w:r>
    </w:p>
    <w:p>
      <w:r>
        <w:t>Bundesgericht, 2013-04-24, FR</w:t>
      </w:r>
    </w:p>
    <w:p>
      <w:r>
        <w:rPr>
          <w:b/>
        </w:rPr>
        <w:t xml:space="preserve">Quelle: </w:t>
      </w:r>
      <w:r>
        <w:t>https://mcp.opencaselaw.ch/entscheid/bger_9C_44_2013</w:t>
      </w:r>
    </w:p>
    <w:p>
      <w:r>
        <w:t>FR: TF 9C_44/2013 du 24 avril 2013</w:t>
      </w:r>
    </w:p>
    <w:p>
      <w:r>
        <w:t>IT: TF 9C_44/2013 del 24 aprile 2013</w:t>
      </w:r>
    </w:p>
    <w:p>
      <w:pPr>
        <w:pStyle w:val="Heading2"/>
      </w:pPr>
      <w:r>
        <w:t>Erwägungen</w:t>
      </w:r>
    </w:p>
    <w:p>
      <w:r>
        <w:rPr>
          <w:b/>
        </w:rPr>
        <w:t>E. 1</w:t>
      </w:r>
    </w:p>
    <w:p>
      <w:r>
        <w:t>Le litige porte sur le droit du recourant à des prestations de l'intimée au-delà du 30 novembre 2008 dans le cadre de la police de prévoyance liée "yyy".</w:t>
      </w:r>
    </w:p>
    <w:p>
      <w:r>
        <w:rPr>
          <w:b/>
        </w:rPr>
        <w:t>E. 2</w:t>
      </w:r>
    </w:p>
    <w:p>
      <w:r>
        <w:t>Par contrats de prévoyance liée, on entend les contrats spéciaux d'assurance de capital et de rentes sur la vie ou en cas d'invalidité ou de décès, y compris d'éventuelles assurances complémentaires en cas de décès par accident ou d'invalidité, qui sont conclu avec une institution d'assurance soumise à la surveillance des assurances ou avec une institution d'assurance de droit public satisfaisant aux exigences fixées à l' art. 67 al. 1 LPP et qui sont affectés exclusivement et irrévocablement à la prévoyance ( art. 1 al. 2 OPP 3 ). Il s'agit d'une forme de prévoyance reconnue par le Conseil fédéral en collaboration avec les cantons et fiscalement favorable au sens de l' art. 82 al. 2 LPP . Bien que ces contrats soient régis matériellement par la LCA, les contestations résultant de leur application sont de la compétence de l'autorité cantonale désignée pour connaître des contestations opposant fondations ou institutions de prévoyance, employeurs et ayants droit ( art. 73 al. 1 let. b LPP ; arrêt 9C_944/2008 du 30 mars 2009 consid. 2.2, résumé in RSAS 2009 p. 474).</w:t>
      </w:r>
    </w:p>
    <w:p>
      <w:r>
        <w:rPr>
          <w:b/>
        </w:rPr>
        <w:t>E. 3</w:t>
      </w:r>
    </w:p>
    <w:p>
      <w:r>
        <w:t>Sous le titre "Quelles sont nos prestations", il est spécifié sous ch. 1.1 des dispositions réglementaires de l'intimée applicables à l'assurance d'une rente pour perte de gain que "la rente pour perte de gain est versée pendant la durée d'une incapacité de gain de la personne assurée, à partir de la fin du délai d'attente contractuel (...)". Selon le ch. 1.2, "il y a incapacité de gain lorsque, par suite de maladie, d'accident ou d'infirmité, la personne assurée est de façon temporaire ou permanente empêchée d'exercer sa profession ou de déployer une autre activité rémunérée (...)". D'après le ch. 1.3, "le degré de l'incapacité de gain des personnes exerçant une activité rémunérée est déterminé sur la base de la perte de gain subie par la personne assurée. A cet effet, on compare le produit de l'activité rémunérée exercée avant que l'incapacité de gain soit survenue, avec la rémunération qui est obtenue ou qui pourrait l'être par la suite, dans l'exercice d'une activité rémunérée légitimement exigible de l'assuré; la différence exprimée en pour-cent du premier de ces deux revenus, indique le degré d'incapacité de gain (...)".</w:t>
      </w:r>
    </w:p>
    <w:p>
      <w:r>
        <w:t>Interprétant la portée de ces dispositions selon le principe de la confiance ( art. 18 CO ; ATF 122 III 118 consid. 2a p. 121 et les arrêts cités), les premiers juges ont considéré qu'est assurée l'incapacité de gain (et non de travail) du demandeur. Celui-ci doit ainsi subir un dommage, c'est-à-dire encourir une perte de gain effective pour être indemnisé. Contrairement à l'opinion du recourant, il n'est donc pas question d'une assurance de sommes.</w:t>
      </w:r>
    </w:p>
    <w:p>
      <w:r>
        <w:t>Dans le cas d'espèce, la juridiction cantonale a constaté que le recourant n'avait subi aucune perte de gain depuis son accident et qu'il n'avait pas modifié son activité professionnelle depuis cet événement. En outre, à l'examen du dossier de l'AI, ainsi que du compte individuel des cotisations AVS et des décisions de taxation fiscale, le revenu annuel du recourant n'avait subi aucune diminution; au contraire, il avait sensiblement augmenté depuis l'accident, nonobstant l'engagement de quatre personnes. La demande devait ainsi être rejetée.</w:t>
      </w:r>
    </w:p>
    <w:p>
      <w:r>
        <w:rPr>
          <w:b/>
        </w:rPr>
        <w:t>E. 4</w:t>
      </w:r>
    </w:p>
    <w:p>
      <w:r>
        <w:t>Le recourant reproche au tribunal cantonal de s'être fondé exclusivement sur une analyse textuelle (sous-entendu: du contrat d'assurance), sans avoir pris en compte le but qu'il recherchait et les circonstances personnelles (l'existence de plusieurs activités, de promotions immobilières, d'activités dépendantes à côté d'activités indépendantes, etc.). Le recourant allègue qu'il voulait, par le biais d'une assurance de sommes, se prémunir en cas d'accident de tous les dommages connexes qu'il aurait dû assumer, notamment l'engagement de personnel complémentaire. A son avis, la rente annuelle est liée à la survenance de l'événement assuré, sans égard aux conséquences financières de cet événement. Selon le recourant, le tribunal, qui n'a donné aucun crédit à l'avis d'un cadre de l'assureur, n'a pas interprété le contrat d'assurance au regard du principe de la confiance, mais uniquement en faveur de l'assureur, sans tenir compte de la particularité des diverses activités professionnelles qu'il exerce et de leur ampleur. Il allègue aussi que les données fiscales retenues seraient erronées.</w:t>
      </w:r>
    </w:p>
    <w:p>
      <w:r>
        <w:rPr>
          <w:b/>
        </w:rPr>
        <w:t>E. 5.1</w:t>
      </w:r>
    </w:p>
    <w:p>
      <w:r>
        <w:t>Les dispositions d'un contrat d'assurance, de même que les conditions générales qui ont été expressément incorporées, doivent être interprétées selon les mêmes principes que les autres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 ATF 135 III 410 consid. 3.2 p. 412 s. et la référence; voir aussi ATF 138 III 659 consid. 4.2.1 p. 666 s. et les arrêts cités).</w:t>
      </w:r>
    </w:p>
    <w:p>
      <w:r>
        <w:rPr>
          <w:b/>
        </w:rPr>
        <w:t>E. 5.2</w:t>
      </w:r>
    </w:p>
    <w:p>
      <w:r>
        <w:t>Dans le cas d'espèce, l'existence d'un contrat d'assurance de même que sa teneur ne sont pas contestées. En revanche, les opinions des parties divergent quant à l'interprétation du contrat. On se trouve ainsi dans l'éventualité où le juge doit interpréter les déclarations et les comportements des parties selon la théorie de la confiance.</w:t>
      </w:r>
    </w:p>
    <w:p>
      <w:r>
        <w:t>En procédure fédérale, il incombait au recourant de démontrer en quoi l'interprétation du contrat, à l'issue de laquelle la juridiction cantonale avait admis l'existence d'une assurance-dommages et nié celle d'une assurance de sommes, résultait d'une appréciation des preuves violant le droit fédéral ( art. 95 let. a LTF ), singulièrement l' art. 18 al. 1 CO . Le recourant n'y est pas parvenu. En effet, dans son discours, il a simplement donné sa propre interprétation du contrat d'assurance, en alléguant, mais sans le démontrer que l'intimée entendait elle aussi assurer le versement d'une rente du seul chef de la survenance d'une atteinte à la santé, indépendamment d'une perte de gain.</w:t>
      </w:r>
    </w:p>
    <w:p>
      <w:r>
        <w:t>De toute manière, à l'examen du dossier, l'appréciation des preuves et la solution adoptée par les premiers juges ne prêtent nullement le flanc à la critique. En particulier, il ressort clairement du contrat, singulièrement de la police d'assurance et des conditions générales que le recourant a acceptées, que c'est bien le risque d'une perte de gain effective (cette notion et les modalités de l'indemnisation étant spécifiées) que les parties entendaient assurer. Une interprétation différente reconnaissant le principe d'une indemnisation dans le cadre d'une assurance de sommes, en l'absence de toute perte de gain, serait à l'évidence contraire aux pièces du dossier et partant inconciliable avec la théorie de la confiance. Le recours est infondé.</w:t>
      </w:r>
    </w:p>
    <w:p>
      <w:r>
        <w:rPr>
          <w:b/>
        </w:rPr>
        <w:t>E. 6</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