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44/2007 vom 7. April 2008</w:t>
      </w:r>
    </w:p>
    <w:p>
      <w:r>
        <w:t>Bundesgericht, 2008-04-07, DE</w:t>
      </w:r>
    </w:p>
    <w:p>
      <w:r>
        <w:rPr>
          <w:b/>
        </w:rPr>
        <w:t xml:space="preserve">Quelle: </w:t>
      </w:r>
      <w:r>
        <w:t>https://mcp.opencaselaw.ch/entscheid/bger_9C_44_2007</w:t>
      </w:r>
    </w:p>
    <w:p>
      <w:r>
        <w:t>FR: TF 9C 44/2007 du 7 avril 2008</w:t>
      </w:r>
    </w:p>
    <w:p>
      <w:r>
        <w:t>IT: TF 9C 44/2007 del 7 aprile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Entscheid über die Zusprechung oder Verweigerung von Geldleistungen der Militär- oder Unfallversicherung richtet; Art. 97 Abs. 2 BGG ). Ebenso entfällt eine Prüfung der Ermessensbetätigung nach den Grundsätzen zur Angemessenheitskontrolle ( BGE 126 V 75 E. 6 S. 81 hinsichtlich der seinerzeitigen Regelung nach dem auf Ende 2006 aufgehobenen OG).</w:t>
      </w:r>
    </w:p>
    <w:p>
      <w:r>
        <w:rPr>
          <w:b/>
        </w:rPr>
        <w:t>E. 2</w:t>
      </w:r>
    </w:p>
    <w:p>
      <w:r>
        <w:t>Kantonales Gericht und IV-Stelle haben die gesetzlichen Bestimmungen und von der Rechtsprechung entwickelten Grundsätze, namentlich diejenigen über den Umfang des Rentenanspruchs ( Art. 28 Abs. 1 IVG sowohl in der bis 31. Dezember 2003 gültig gewesenen wie auch in der seit 1. Januar 2004 geltenden Fassung) und die Bemessung des Invaliditätsgrades bei erwerbstätigen Versicherten nach der allgemeinen Methode des Einkommensvergleichs (bis 31. Dezember 2002: Art. 28 altAbs. 2 IVG; vom 1. Januar bis 31. Dezember 2003: Art. 1 Abs. 1 IVG in Verbindung mit Art. 16 ATSG ; ab 1. Januar 2004: Art. 28 Abs. 2 IVG in Verbindung mit Art. 16 ATSG ; BGE 130 V 343 E. 3.4 S. 348, 128 V 29 E. 1 S. 30, 104 V 135 E. 2a und b S. 136), richtig dargelegt. Hierauf wird verwiesen.</w:t>
      </w:r>
    </w:p>
    <w:p>
      <w:r>
        <w:rPr>
          <w:b/>
        </w:rPr>
        <w:t>E. 3.1</w:t>
      </w:r>
    </w:p>
    <w:p>
      <w:r>
        <w:t>Überdies hat die Vorinstanz - wobei es die hievor (E. 1) angeführte Kognitionsregelung zu beachten gilt - insbesondere gestützt auf das Gutachten des medizinischen Zentrums (ZX) vom 20. Dezember 2004 (samt Ergänzung vom 23. März 2005) zutreffend erkannt, dass die Beschwerdeführerin trotz der chronifizierten Ansatztendinose des Musculus levator scapulae und der anhaltenden somatoformen Schmerzstörung einer leidensangepassten Erwerbstätigkeit (mit Wechselbelastung; ohne Kälte- oder Rauchexposition; keine monotonen Stellungen, kein Arbeiten über Kopf, kein Heben oder Tragen von Gewichten über 15 kg) weiterhin im Umfange eines Arbeitspensums von 70 % nachgehen und damit ein rentenausschliessendes Einkommen erzielen könnte.</w:t>
      </w:r>
    </w:p>
    <w:p>
      <w:r>
        <w:rPr>
          <w:b/>
        </w:rPr>
        <w:t>E. 3.2</w:t>
      </w:r>
    </w:p>
    <w:p>
      <w:r>
        <w:t>Sämtliche letztinstanzlich erhobenen Einwendungen vermögen an dieser Betrachtungsweise nichts zu ändern. Wenn die Beschwerdeführerin dem ZX-Gutachten den Beweiswert abspricht, weil sich die begutachtenden Fachmediziner mit den von den behandelnden Ärzten verfassten abweichenden Berichten inhaltlich nicht auseinandergesetzt hätten, übersieht sie, dass es sich bei den von ihr angeführten Arztberichten (u.a. der Allgemeinpraktiker Dr. U.________ und Dr. N.________, des Chiropraktors Dr. M.________ sowie der Klinik Y.________) um blosse (Formular-) Atteste, andere nicht näher begründete Stellungnahmen oder aber um solche handelt, welche in der Beurteilung der verbliebenen Leistungsfähigkeit bei adaptierter Verweisungstätigkeit nicht von der ZX-Expertise abweichen. Ohne nachvollziehbare Begründung ausgestellte Arbeitsunfähigkeits-Bescheinigungen können indessen naturgemäss nicht Grundlage einer inhaltlichen Auseinandersetzung im Rahmen eines medizinischen Gutachtens bilden. Auf die Stellungnahme des Hausarztes Dr. N.________ vom 6. April 2005 konnten die Ärzte des ZX ohnehin nicht eingehen, weil ihr Gutachten (samt Ergänzung) vorher verfasst wurde. Entgegen dem Einwand der Beschwerdeführerin haben sich sodann die Gutachter mit den abweichenden Diagnosen des behandelnden Psychiaters Dr. R.________ (Dysthymie, anhaltende depressive Entwicklung, schizoide Persönlichkeitszüge, leichte Intelligenzminderung) und dessen Bescheinigung einer 50%igen Arbeitsunfähigkeit aus psychischen Gründen hinreichend auseinandergesetzt. Es ist verfehlt, wenn der ZX-Fachgutachterin in der Beschwerde eine derartige Auseinandersetzung mit den Vorakten abgesprochen wird, weil sie aufgrund ihrer eigenen Untersuchung die vom behandelnden Psychiater (früher) erhobenen Befunde und Symptome nicht bestätigen kann und die verbliebene Leistungsfähigkeit höher einschätzt (mindestens 70 % statt 50 %). Schliesslich kann im Verzicht der Gutachter auf die Durchführung eines Intelligenztestes ebenfalls kein der Expertise anhaftender Mangel erblickt werden, würde doch ein solcher Test keine Aufschlüsse über die funktionelle Leistungseinbusse zeitigen. Dieselben Überlegungen gelten für den von der Beschwerdeführerin geforderten "Einsatz von Skalen" nach den "gängigen Testverfahren": Generell kann einem testmässigen Erfassen der Psychopathologie im Rahmen der psychiatrischen Exploration nur ergänzende Funktion beigemessen werden; ausschlaggebend bleibt die klinische Untersuchung mit Anamneseerhebung, Symptomerfassung und Verhaltensbeobachtung (Urteil I 391/06 des Eidgenössischen Versicherungsgerichts vom 9. August 2006, E. 3.2.2). Das Gutachten des medizinischen Zentrums X.________ vom 20. Dezember 2004 (einschliesslich Ergänzung vom 23. März 2005) erfüllt ohne weiteres die Anforderungen der Rechtsprechung an eine beweistaugliche medizinische Expertise ( BGE 125 V 351 E. 3a S. 352). Dass das kantonale Gericht das ZX-Gutachten überdies im Rahmen seiner pflichtgemässen Beweiswürdigung als voll beweiskräftig betrachtete und entscheidend darauf abstellte, ist unter dem Blickwinkel der für das Bundesgericht geltenden engen Kognition (E. 1 hievor) in keiner Weise zu beanstanden (ebenso wenig der vorinstanzliche Verzicht auf ergänzende medizinische Abklärungen). Dabei durfte die Vorinstanz der unterschiedlichen Natur des Behandlungsauftrags eines therapeutisch tätigen (Fach-)Arztes einerseits und des Begutachtungsauftrags des amtlich bestellten fachmedizinischen Experten anderseits durchaus Rechnung tragen ( BGE 124 I 170 E. 4 S. 175; SVR 2008 IV Nr. 15 S. 44 E. 2.2.1). Ferner ist dem kantonalen Gericht beizupflichten, wenn es unter Hinweis auf die ergänzenden Ausführungen des ZX-Chefarztes PD Dr. O.________ vom 23. März 2005 feststellte, dass die vom behandelnden Psychiater Dr. R.________ bescheinigte Dysthymie und die anhaltende depressive Entwicklung (vgl. auch den Bericht der Psychoanalytikerin lic. phil. I L.________ vom 21. März 2005) rechtsprechungsgemäss eine Begleiterscheinung der somatoformen Schmerzstörung darstellt und nicht eine selbständige, vom Schmerzsyndrom losgelöste psychische Komorbidität, die sich aufgrund ihres Schweregrades unbestreitbar von der somatoformen Schmerzstörung unterscheiden liesse ( BGE 130 V 352 E. 3.3.1 S. 358; SVR 2008 IV Nr. 1 S. 2 E. 5.2, Nr. 8 S. 24 E. 3.3.1; Urteil I 805/04 des Eidgenössischen Versicherungsgerichts vom 20. April 2006, E. 5.2.1). Soweit die Beschwerdeführerin mit Bezug auf das Invalideneinkommen einen höheren als den vom kantonalen Gericht anerkannten 10%igen Abzug vom Tabellenlohn beantragt, verlangt sie eine Prüfung der vorinstanzlichen Ermessensbetätigung, was dem Bundesgericht mit Blick auf E. 1 in fine hievor verwehrt ist, zumal von rechtsfehlerhafter Ermessensüberschreitung, Ermessensmissbrauch oder Ermessensunterschreitung offenkundig nicht die Rede sein kann (vgl. BGE 132 V 393 E. 3.3 in fine S. 399).</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 Wie eingangs erwähnt, wurde ihr Gesuch um unentgeltliche Rechtspflege mit Zwischenentscheid vom 18. April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