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9C_449/2008 vom 18. November 2008</w:t>
      </w:r>
    </w:p>
    <w:p>
      <w:r>
        <w:t>Bundesgericht, 2008-11-18, DE</w:t>
      </w:r>
    </w:p>
    <w:p>
      <w:r>
        <w:rPr>
          <w:b/>
        </w:rPr>
        <w:t xml:space="preserve">Quelle: </w:t>
      </w:r>
      <w:r>
        <w:t>https://mcp.opencaselaw.ch/entscheid/bger_9C_449_2008</w:t>
      </w:r>
    </w:p>
    <w:p>
      <w:r>
        <w:t>FR: TF 9C_449/2008 du 18 novembre 2008</w:t>
      </w:r>
    </w:p>
    <w:p>
      <w:r>
        <w:t>IT: TF 9C_449/2008 del 18 novembre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2 IVG ).</w:t>
      </w:r>
    </w:p>
    <w:p>
      <w:r>
        <w:rPr>
          <w:b/>
        </w:rPr>
        <w:t>E. 2.1</w:t>
      </w:r>
    </w:p>
    <w:p>
      <w:r>
        <w:t>Der Beschwerdeführer bringt vor, die Vorinstanz habe sich weder grundsätzlich zu den invaliditätsmässigen Voraussetzungen einer Umschulung noch zum Anspruch auf verschiedene in Betracht fallende Massnahmen geäussert; sie habe den Streitgegenstand zu Unrecht auf die Prüfung der Umschulung zum Technischen Kaufmann eingegrenzt und damit das rechtliche Gehör ( Art. 29 Abs. 2 BV ) verletzt.</w:t>
      </w:r>
    </w:p>
    <w:p>
      <w:r>
        <w:rPr>
          <w:b/>
        </w:rPr>
        <w:t>E. 2.2</w:t>
      </w:r>
    </w:p>
    <w:p>
      <w:r>
        <w:t>Zwar nicht aus dem angefochtenen Entscheid, jedoch aus der Verfügung vom 21. Juni 2007 geht hervor, dass die Beschwerdegegnerin die allgemeinen invaliditätsmässigen Grundlagen zur Gewährung weiterer Umschulungsmassnahmen bestreitet. Sie begründete dies damit, die von ihr bisher gewährte Berufsausbildung vermittle dem Beschwerdeführer annähernd gleichwertige Erwerbsaussichten; weitergehende berufliche Eingliederungsmassnahmen drängten sich nicht auf, da er schon jetzt in der Lage sei, in einer zumutbaren Verweisungstätigkeit höhere Einkünfte zu generieren als die bisher effektiv erzielten. Damit verneinte sie das Vorliegen einer leistungsspezifischen Invalidität für weitere Massnahmen nach Art. 17 IVG , was in ergänzender Feststellung zum diesbezüglich unvollständigen kantonalen Gerichtsentscheid ( Art. 105 Abs. 2 BGG ) im Lichte der Aktenlage zu bestätigen ist. Der Beschwerdeführer bringt nichts vor, was zu einer abweichenden Beurteilung Anlass gäbe. Hält der kantonale Entscheid somit im Ergebnis Stand, ist es unerheblich, dass die Vorinstanz den Anspruch auf Umschulung zum Technischen Kaufmann mit der Begründung verneint hat, der Beschwerdeführer sei dazu wegen fehlender schulischer Grundlage persönlich nicht geeignet. Die Rüge einer Verletzung des rechtlichen Gehörs ist daher unbegründet. Nicht präjudiziert ist durch diesen Verfahrensausgang die Arbeitsvermittlung.</w:t>
      </w:r>
    </w:p>
    <w:p>
      <w:r>
        <w:rPr>
          <w:b/>
        </w:rPr>
        <w:t>E. 3</w:t>
      </w:r>
    </w:p>
    <w:p>
      <w:r>
        <w:t>Die unentgeltliche Rechtspflege kann gewährt werden ( Art. 64 BGG ), da die Bedürftigkeit aktenkundig ist, die Beschwerde nicht als aussichtslos zu bezeichnen und die Vertretung notwendig war ( BGE 125 V 201 E. 4a S. 202 und 371 E. 5b S. 372; vgl. auch Urteil 8C_524/2007 vom 10. Juni 2008, E. 7). Der Beschwerdeführer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