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448/2017 vom 16. November 2017</w:t>
      </w:r>
    </w:p>
    <w:p>
      <w:r>
        <w:t>Bundesgericht, 2017-11-16, FR</w:t>
      </w:r>
    </w:p>
    <w:p>
      <w:r>
        <w:rPr>
          <w:b/>
        </w:rPr>
        <w:t xml:space="preserve">Quelle: </w:t>
      </w:r>
      <w:r>
        <w:t>https://mcp.opencaselaw.ch/entscheid/bger_9C_448_2017</w:t>
      </w:r>
    </w:p>
    <w:p>
      <w:r>
        <w:t>FR: TF 9C 448/2017 du 16 novembre 2017</w:t>
      </w:r>
    </w:p>
    <w:p>
      <w:r>
        <w:t>IT: TF 9C 448/2017 del 16 novembre 2017</w:t>
      </w:r>
    </w:p>
    <w:p>
      <w:pPr>
        <w:pStyle w:val="Heading2"/>
      </w:pPr>
      <w:r>
        <w:t>Regeste</w:t>
      </w:r>
    </w:p>
    <w:p>
      <w:r>
        <w:t>Prestation complémentaire à l'AVS/AI | Prestations complémentaires à l'AVS/AI</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w:t>
      </w:r>
    </w:p>
    <w:p>
      <w:r>
        <w:rPr>
          <w:b/>
        </w:rPr>
        <w:t>E. 2.1</w:t>
      </w:r>
    </w:p>
    <w:p>
      <w:r>
        <w:t>Le litige porte sur le moment à partir duquel les prestations complémentaires doivent être versées au recourant. Les époux A.A.________ et B.A.________ ne contestent pas que le changement de la situation déterminante relève de l'application des art. 25 al. 1 let . c et 25 al. 2 let. b OPC-AVS/AI. Mais ils soutiennent que l'annonce déterminante de la baisse des revenus familiaux est intervenue le 1 er juin 2015 lorsque l'office AI a informé l'intimée de l'interruption de la mesure de réadaptation à fin mai 2015, et non le 14 août 2015 lorsqu'ils ont écrit à la CCNC.</w:t>
      </w:r>
    </w:p>
    <w:p>
      <w:r>
        <w:rPr>
          <w:b/>
        </w:rPr>
        <w:t>E. 2.2</w:t>
      </w:r>
    </w:p>
    <w:p>
      <w:r>
        <w:t>Aux termes de l' art. 24 OPC-AVS/AI ,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doit. L' art. 25 al. 1 let .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 par an. Selon l' art. 25 al. 2 let. b OPC-AVS/AI , la nouvelle décision doit porter effet, dans les cas prévus par l'al. 1 let. c, lors d'une augmentation de l'excédent des dépenses, dès le début du mois au cours duquel le changement a été annoncé, mais au plus tôt à partir du mois dans lequel celui-ci est survenu.</w:t>
      </w:r>
    </w:p>
    <w:p>
      <w:r>
        <w:rPr>
          <w:b/>
        </w:rPr>
        <w:t>E. 3.1</w:t>
      </w:r>
    </w:p>
    <w:p>
      <w:r>
        <w:t>En tant que les recourants invoquent tout d'abord l' art. 24 OPC-AVS/AI en soutenant que l'office AI avait, en qualité de "tiers", informé l'intimée du changement déterminant, de sorte qu'ils avaient ainsi respecté leur obligation de renseigner, leur argumentation n'est pas pertinente. En effet, l'office AI n'est pas un "tiers [...] à qui la prestation complémentaire est versée", si bien qu'il n'était tenu d'aucune obligation en vertu de la disposition mentionnée. Par ailleurs, l'information donnée par l'organe de l'assurance-invalidité correspondait à une tâche prévue par l' art. 41 al. 1 let . c RAI, selon lequel l'office AI transmet immédiatement les communications concernant le droit aux indemnités journalières, aux rentes et aux allocation pour impotent pour les assurés majeurs en cours à la caisse de compensation compétente. Cette information visait donc l'intimée en sa qualité d'organe compétent pour verser (ici cesser de verser) les indemnités journalières de l'assurance-invalidité ( art. 44 RAI ). Or selon les constatations de la juridiction cantonale, qui ne sont pas remises en cause par les recourants (supra consid. 1), les tâches confiées à la CCNC en application de la législation sur l'assurance-invalidité d'une part et celles confiées en matière de prestations complémentaires d'autre part sont attribuées à des sections différentes. Si l'épouse apparaissait bien dans le dossier de son époux géré par la section "prestations complémentaires" dès lors qu'il était tenu compte de sa personne pour le calcul des prestations complémentaires de l'assuré, l'ayant droit n'apparaissait pas comme bénéficiaire de prestations complémentaires dans le dossier de son épouse géré par la section "prestations AVS/AI". Dans ces circonstances, compte tenu de la division des tâches relevant des deux assurances sociales différentes et de leur attribution à des collaborateurs de secteurs différents, l'information de l'office AI, qui portait exclusivement sur l'interruption d'une prestation de l'assurance-invalidité allouée jusqu'alors à B.A.________ et donnée à la section "prestations AVS/AI", ne pouvait être considérée d'emblée comme ayant trait au droit de son époux en matière de prestations complémentaires et s'adressant aussi à la section "prestations complémentaires". Elle ne valait donc pas annonce d'une modification des circonstances dont pourrait se prévaloir l'ayant droit aux prestations complémentaires. Les recourants ne peuvent en l'occurrence rien tirer en leur faveur de cette information en relation avec l' art. 25 OPC-AVS/AI .</w:t>
      </w:r>
    </w:p>
    <w:p>
      <w:r>
        <w:rPr>
          <w:b/>
        </w:rPr>
        <w:t>E. 3.2</w:t>
      </w:r>
    </w:p>
    <w:p>
      <w:r>
        <w:t>Les griefs de l'interdiction du formalisme excessif ( art. 29 al. 1 Cst. ) et de la violation du principe de la bonne foi ( art. 5 al. 3 et 9 Cst. ) invoqués par les recourants sont également mal fondés. Compte tenu de l'organisation de l'intimée relative à ses compétences distinctes dans les domaines respectifs de l'assurance-invalidité et des prestations complémentaires, on ne saurait lui reprocher un formalisme excessif lorsqu'elle considère, en tant qu'organe d'exécution des prestations complémentaires, avoir eu connaissance de la modification concernant les membres de la famille de l'ayant droit seulement au moment de l'annonce des recourants, le 14 août 2015. Dans la mesure ensuite où la communication de l'office AI du 28 mai 2015 ne comportait aucun élément permettant de faire un lien entre l'interruption des mesures de réadaptation de la recourante et un éventuel droit à des prestations complémentaires du recourant, les époux A.A.________ et B.A.________ ne pouvaient en déduire qu'ils n'avaient plus besoin d'informer l'intimée; la référence à la bonne foi ne leur est d'aucun secours.</w:t>
      </w:r>
    </w:p>
    <w:p>
      <w:r>
        <w:rPr>
          <w:b/>
        </w:rPr>
        <w:t>E. 3.3</w:t>
      </w:r>
    </w:p>
    <w:p>
      <w:r>
        <w:t>Il résulte de ce qui précède que la juridiction cantonale était en droit de constater que l'annonce du changement de situation était intervenue le 14 août 2015 et de confirmer que le droit aux prestations complémentaires prenait effet au 1er août 2015. Le recours est mal fondé.</w:t>
      </w:r>
    </w:p>
    <w:p>
      <w:r>
        <w:rPr>
          <w:b/>
        </w:rPr>
        <w:t>E. 4</w:t>
      </w:r>
    </w:p>
    <w:p>
      <w:r>
        <w:t>En fonction de l'issue de la procédure, les frais judiciaires sont mis à la charge des recourants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