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448/2014 vom 4. September 2014</w:t>
      </w:r>
    </w:p>
    <w:p>
      <w:r>
        <w:t>Bundesgericht, 2014-09-04, FR</w:t>
      </w:r>
    </w:p>
    <w:p>
      <w:r>
        <w:rPr>
          <w:b/>
        </w:rPr>
        <w:t xml:space="preserve">Quelle: </w:t>
      </w:r>
      <w:r>
        <w:t>https://mcp.opencaselaw.ch/entscheid/bger_9C_448_2014</w:t>
      </w:r>
    </w:p>
    <w:p>
      <w:r>
        <w:t>FR: TF 9C 448/2014 du 4 septembre 2014</w:t>
      </w:r>
    </w:p>
    <w:p>
      <w:r>
        <w:t>IT: TF 9C 448/2014 del 4 settembre 2014</w:t>
      </w:r>
    </w:p>
    <w:p>
      <w:pPr>
        <w:pStyle w:val="Heading2"/>
      </w:pPr>
      <w:r>
        <w:t>Regeste</w:t>
      </w:r>
    </w:p>
    <w:p>
      <w:r>
        <w:t>Assurance-invalidité | Assurance-invalidité</w:t>
      </w:r>
    </w:p>
    <w:p>
      <w:pPr>
        <w:pStyle w:val="Heading2"/>
      </w:pPr>
      <w:r>
        <w:t>Erwägungen</w:t>
      </w:r>
    </w:p>
    <w:p>
      <w:r>
        <w:rPr>
          <w:b/>
        </w:rPr>
        <w:t>E. 1</w:t>
      </w:r>
    </w:p>
    <w:p>
      <w:r>
        <w:t>Le recours en matière de droit public réalise les conditions de recevabilité posées par les art. 82 à 85 LTF. Partant, en raison de son caractère subsidiaire, le recours constitutionnel n'est pas recevable ( art. 113 LTF ).</w:t>
      </w:r>
    </w:p>
    <w:p>
      <w:r>
        <w:rPr>
          <w:b/>
        </w:rPr>
        <w:t>E. 2</w:t>
      </w:r>
    </w:p>
    <w:p>
      <w:r>
        <w:t>Procap soutient que les prestations de son service juridique sont en partie refinancées par les indemnités de dépens octroyées et que ses interventions judiciaires ne sont pas subventionnées. Dès lors que son but statutaire est la défense des intérêts de ses membres, Procap estime être touchée de manière idéale par le jugement du 1 er mai 2014 et avoir qualité pour recourir en son nom contre celui-ci, en vertu de l' art. 89 al. 1 LTF . Ce point de vue ne saurait être partagé. Comme Procap n'a pas pris part à la procédure devant l'autorité précédente et n'a pas été privée de la possibilité de le faire, elle ne remplit pas la condition de l' art. 89 al. 1 let. a LTF ( FLORENCE AUBRY GIRARDIN, Commentaire de la LTF, 2 e éd., § 4.1.2 ad art. 89). Au demeurant, à teneur du texte de la procuration du 24 novembre 2010, A.________ avait mandaté Maîtres Franziska Lüthy et Caroline Ledermann (et non Procap) pour la représenter dans l'affaire "LAI", auxquelles elle avait cédé toute prétention en remboursement de frais et dépens. Le recours de Procap est ainsi irrecevable. A.________ était partie à la procédure devant la juridiction cantonale de recours. Comme elle seule pourrait être créancière d'une éventuelle indemnité de dépens si l'existence d'un retard injustifié était admise, la question de l'assistance judiciaire ne se posant pas, elle a seule qualité pour recourir contre le jugement du 1 er mai 2014 conformément à l'art. 89 al. 1 let. a, b et c LTF.</w:t>
      </w:r>
    </w:p>
    <w:p>
      <w:r>
        <w:rPr>
          <w:b/>
        </w:rPr>
        <w:t>E. 3</w:t>
      </w:r>
    </w:p>
    <w:p>
      <w:r>
        <w:t>A.________ a saisi la Cour des assurances du Tribunal cantonal du canton de Vaud d'un recours pour déni de justice, en vertu de l'art. 56 al. 2 LGPA, au motif que l'office intimé tardait à statuer. Dès lors que l'intimé a rendu une décision, le recours est devenu sans objet, si bien que la cause a été rayée du rôle. Le litige porte ainsi uniquement sur le droit de la recourante à des dépens pour la procédure cantonale de recours qu'elle a initiée, à charge de l'intimé. Des dépens sont dus, en principe, si le grief d'un retard injustifié est avéré, ce qu'il sied d'examiner.</w:t>
      </w:r>
    </w:p>
    <w:p>
      <w:r>
        <w:rPr>
          <w:b/>
        </w:rPr>
        <w:t>E. 4.1</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peut reprocher à l'autorité quelques "temps morts", celle-ci ne saurait en revanche invoquer une organisation déficiente ou une surcharge structurelle pour justifier la lenteur de la procédure ( ATF 130 I 312 consid. 5.1 et 5.2 p. 331 s. et les références). Selon l' art. 56 al. 2 LPGA , le recours peut être formé lorsque l'assureur, malgré la demande de l'intéressé, ne rend pas de décision ou de décisions sur opposition. Cette disposition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 ATF 125 V 191 consid. 2a).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w:t>
      </w:r>
    </w:p>
    <w:p>
      <w:r>
        <w:rPr>
          <w:b/>
        </w:rPr>
        <w:t>E. 4.2</w:t>
      </w:r>
    </w:p>
    <w:p>
      <w:r>
        <w:t>A titre d'exemple,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(arrêt du 15 juin 2005, I 241/04). L'existence d'un retard injustifié a également été niée dans l'arrêt 5A.8/2000 du 6 novembre 2000. Dans cette affaire,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Le Tribunal fédéral avait rappelé que l'exigence de célérité ne pouvait l'emporter sur la nécessité d'une instruction complète ( ATF 119 Ib 311 consid. 5b p. 325).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w:t>
      </w:r>
    </w:p>
    <w:p>
      <w:r>
        <w:rPr>
          <w:b/>
        </w:rPr>
        <w:t>E. 5</w:t>
      </w:r>
    </w:p>
    <w:p>
      <w:r>
        <w:t>En l'occurrence, la juridiction cantonale a considéré qu'en l'absence de carence dans l'instruction au plan de l'administration, le retard à statuer devait s'apprécier non pas depuis la date du dépôt de la demande de prestations, respectivement depuis la date d'ouverture du droit à la rente, mais depuis le moment où l'office intimé était en mesure de statuer, soit dans les semaines qui avaient suivi la réception de l'avis du SMR du 19 janvier 2012. Compte tenu des circonstances, la Cour des assurances a admis que l'intervalle d'environ vingt mois qui subsistait jusqu'au dépôt du recours (le 1 er octobre 2013) était encore admissible, ce qui l'a conduite à nier le droit de la recourante à une allocation de dépens.</w:t>
      </w:r>
    </w:p>
    <w:p>
      <w:r>
        <w:rPr>
          <w:b/>
        </w:rPr>
        <w:t>E. 6</w:t>
      </w:r>
    </w:p>
    <w:p>
      <w:r>
        <w:t>La recourante se plaint d'une violation des art. 5 al. 3 Cst. et 29 al. 1 Cst. ainsi que de la jurisprudence rendue en application de cette dernière disposition constitutionnelle, ainsi que d'une violation des art. 17 et 61 let . g LPGA. A son avis, la juridiction cantonale a considéré à tort qu'un intervalle d'environ vingt mois entre la réception de l'avis du SMR du 19 janvier 2012 et le dépôt de son recours pour déni de justice était en l'espèce encore admissible. Elle soutient que la seule chose qui restait à faire depuis le 19 janvier 2012 était d'établir un projet de décision, puisque toute l'instruction avait déjà été effectuée. La recourante estime que le seul motif invoqué par l'intimé pour surseoir à statuer, soit le fait d'attendre une stabilisation de l'état de santé, ne peut en aucun cas être reconnu comme une raison valable pour différer la décision.</w:t>
      </w:r>
    </w:p>
    <w:p>
      <w:r>
        <w:rPr>
          <w:b/>
        </w:rPr>
        <w:t>E. 7</w:t>
      </w:r>
    </w:p>
    <w:p>
      <w:r>
        <w:t>L'attitude de la recourante est contradictoire. Elle se plaint du fait que l'intimé aurait retardé sa prise de décision en instruisant inutilement le volet oncologique, alors qu'elle lui avait elle-même demandé, le 6 mars 2012, qu'il fût procédé à une nouvelle appréciation globale de son état de santé, à teneur du jugement du 18 avril 2011, en réactualisant ses données médicales de façon à ce que les atteintes à la santé psychique et somatique fussent prises en considération. Par ailleurs, il sied de rappeler que l'assureur examine les demandes, prend d'office les mesures d'instruction nécessaires et recueille les renseignements dont il a besoin ( art. 43 al. 1 LPGA ). Si l'assuré peut certes refuser de se soumettre à des examens médicaux ou techniques qui ne sont pas nécessaires ou qui ne peuvent raisonnablement être exigés ( art. 43 al. 2 LPGA ), il ne saurait en revanche dicter à l'administration la façon dont elle doit instruire le cas, c'est-à-dire lui indiquer les actes d'instruction qu'elle doit accomplir ou ceux dont elle doit s'abstenir. Dans le cas d'espèce, les investigations mises en oeuvre par l'intimé n'apparaissaient pas superflues au point de constituer un déni de justice, d'autant que l'intimé a finalement pu rendre une décision en toute connaissance de cause. De plus, l'intimé a activement mené son instruction, ainsi que cela ressort des rapports médicaux régulièrement versés au dossier jusqu'au dépôt du recours pour déni de justice. Le grief de retard injustifié est infondé.</w:t>
      </w:r>
    </w:p>
    <w:p>
      <w:r>
        <w:rPr>
          <w:b/>
        </w:rPr>
        <w:t>E. 8</w:t>
      </w:r>
    </w:p>
    <w:p>
      <w:r>
        <w:t>Les recourantes, qui succombent, supporteront les frais de la procédure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