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9C_447/2019 vom 8. Oktober 2019</w:t>
      </w:r>
    </w:p>
    <w:p>
      <w:r>
        <w:t>Bundesgericht, 2019-10-08, DE</w:t>
      </w:r>
    </w:p>
    <w:p>
      <w:r>
        <w:rPr>
          <w:b/>
        </w:rPr>
        <w:t xml:space="preserve">Quelle: </w:t>
      </w:r>
      <w:r>
        <w:t>https://mcp.opencaselaw.ch/entscheid/bger_9C_447_2019</w:t>
      </w:r>
    </w:p>
    <w:p>
      <w:r>
        <w:t>FR: TF 9C_447/2019 du 8 octobre 2019</w:t>
      </w:r>
    </w:p>
    <w:p>
      <w:r>
        <w:t>IT: TF 9C_447/2019 del 8 ottobre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bejahte einen Wiedererwägungsgrund im Sinne von Art. 53 Abs. 2 ATSG und prüfte in der Folge den Rentenanspruch neu, wobei es gestützt auf die RAD-ärztliche Beurteilung vom 27. Juli 2015 zum Ergebnis gelangte, dass in einer angepassten Tätigkeit von einer 50%igen Arbeitsfähigkeit auszugehen sei. Im Rahmen des Einkommensvergleichs nach Art. 16 ATSG setzte es das Invalideneinkommen anhand der Tabellenlöhne der Lohnstrukturerhebung (LSE) des Bundesamtes für Statistik (LSE 2016, Tabelle TA1, Kompetenzniveau 1, Frauen), unter Berücksichtigung eines Tabellenlohnabzugs von 15 %, auf Fr. 23'282.- fest. Bei einem Valideneinkommen von Fr. 47'199.- resultierte ein Invaliditätsgrad von 50.7 %, was (weiterhin) Anspruch auf eine halbe Rente gibt ( Art. 28 Abs. 2 IVG ).</w:t>
      </w:r>
    </w:p>
    <w:p>
      <w:r>
        <w:t>Im Gegensatz zur Vorinstanz berücksichtigte die IV-Stelle beim Invalideneinkommen keinen Tabellenlohnabzug, weshalb sie von einem Invaliditätsgrad von (lediglich) 42 % und demzufolge von einer Viertelsrente ausging. Streitig und zu prüfen ist der von der Vorinstanz gewährte Tabellenlohnabzug.</w:t>
      </w:r>
    </w:p>
    <w:p>
      <w:r>
        <w:rPr>
          <w:b/>
        </w:rPr>
        <w:t>E. 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8C_114/2017 vom 11. Juli 2017 E. 3.1). Der Abzug soll aber nicht automatisch erfolgen. Er ist unter Würdigung der Umstände im Einzelfall nach pflichtgemässem Ermessen gesamthaft zu schätzen und darf 25 % nicht übersteigen ( BGE 135 V 297 E. 5.2 S. 301; 134 V 322 E. 5.2 S. 327 f.; 126 V 75 E. 5b/bb-cc S. 80).</w:t>
      </w:r>
    </w:p>
    <w:p>
      <w:r>
        <w:rPr>
          <w:b/>
        </w:rPr>
        <w:t>E. 3.2</w:t>
      </w:r>
    </w:p>
    <w:p>
      <w:r>
        <w:t>Die Frage, ob ein (behinderungsbedingt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w:t>
      </w:r>
    </w:p>
    <w:p>
      <w:r>
        <w:rPr>
          <w:b/>
        </w:rPr>
        <w:t>E. 4.1</w:t>
      </w:r>
    </w:p>
    <w:p>
      <w:r>
        <w:t>Das kantonale Gericht erwog, die IV-Stelle habe der Beschwerdegegnerin anlässlich der erstmaligen Rentenzusprache einen Tabellenlohnabzug von 15 % gewährt und als Begründung angeführt, das Belastbarkeitsprofil (leichte Tätigkeiten mit überwiegendem Sitzen, in Wechselbelastung, ohne Heben, Tragen und Bewegen von Lasten, ohne Besteigen von Leitern und Gerüsten, ohne kniende oder kniebeugende Körperhaltungen) sei als lohnmindernder Faktor zu berücksichtigen. Das Belastbarkeitsprofil habe sich seit damals nicht geändert, so die Vorinstanz weiter, und die körperlichen Einschränkungen seien nicht bereits darin enthalten, dass die Beschwerdegegnerin nur noch in leichten Tätigkeiten arbeitsfähig sei, sondern es seien nur leichte Tätigkeiten mit weiteren einschränkenden Faktoren zumutbar. Es scheine daher gerechtfertigt, vom hypothetischen Einkommen weiterhin einen Abzug von 15 % zu gewähren.</w:t>
      </w:r>
    </w:p>
    <w:p>
      <w:r>
        <w:rPr>
          <w:b/>
        </w:rPr>
        <w:t>E. 4.2</w:t>
      </w:r>
    </w:p>
    <w:p>
      <w:r>
        <w:t>Zunächst rügt die beschwerdeführende IV-Stelle eine Verletzung der Begründungspflicht ( Art. 29 Abs. 2 BV und Art. 61 lit. h ATSG ; vgl. auch Art. 112 Abs. 1 lit. b BGG ). Die Vorinstanz habe ausgeführt, dass beim Tabellenlohnabzug zusätzliche Faktoren zu berücksichtigen seien, ohne jedoch darzulegen, welche Faktoren damit gemeint seien und wie sich diese lohnmindernd auswirken sollen. Vor diesem Hintergrund sei eine sachgemässe Überprüfung des vorinstanzlichen Entscheids nicht möglich.</w:t>
      </w:r>
    </w:p>
    <w:p>
      <w:r>
        <w:t>Die Vorinstanz stellte fest, dass der Versicherten nur noch leichte Tätigkeiten "mit weiteren einschränkenden Faktoren" zumutbar seien, wobei sie sich bei diesen Faktoren unzweifelhaft auf das zuvor genannte Belastbarkeitsprofil bezogen hat (vgl. E. 4.1). Mit Blick auf diese Begründung war die Beschwerdegegnerin ohne Weiteres in der Lage, den kantonalen Entscheid sachgerecht anzufechten, weshalb von einer Verletzung der Begründungspflicht nicht die Rede sein kann (vgl. statt vieler: BGE 142 II 49 E. 9.2 S. 65).</w:t>
      </w:r>
    </w:p>
    <w:p>
      <w:r>
        <w:rPr>
          <w:b/>
        </w:rPr>
        <w:t>E. 4.3</w:t>
      </w:r>
    </w:p>
    <w:p>
      <w:r>
        <w:t>In materieller Hinsicht stellt sich die Frage, ob die Vorinstanz Bundesrecht verletzte, indem sie der Beschwerdegegnerin einen Tabellenlohnabzug gewährte (vgl. E. 3.2).</w:t>
      </w:r>
    </w:p>
    <w:p>
      <w:r>
        <w:rPr>
          <w:b/>
        </w:rPr>
        <w:t>E. 4.3.1</w:t>
      </w:r>
    </w:p>
    <w:p>
      <w:r>
        <w:t>Gemäss unbestritten gebliebener vorinstanzlicher Auffassung sind die Voraussetzungen für eine Wiedererwägung der Rentenverfügung vom 9. Juni 2010 gegeben, womit eine freie Beurteilung der Rentenanspruchsvoraussetzungen nach den Verhältnissen im Zeitraum bis zum Erlass der die Rente ex nunc aufhebenden Wiederwägungsverfügung stattzufinden hat (Urteil 9C_868/2015 vom 22. Dezember 2015 E. 2.2 mit Hinweis). Indem die Vorinstanz nun aber einen Abzug vom Tabellenlohn im Wesentlichen damit begründet hat, dass bereits bei der erstmaligen Rentenzusprache im Jahr 2010 aufgrund des Belastbarkeitsprofils der Versicherten ein Abzug gewährt worden sei und sich dieses Profil seither nicht geändert habe, nimmt sie keine freie Prüfung vor, wie in der Beschwerde zu Recht gerügt wird.</w:t>
      </w:r>
    </w:p>
    <w:p>
      <w:r>
        <w:rPr>
          <w:b/>
        </w:rPr>
        <w:t>E. 4.3.2</w:t>
      </w:r>
    </w:p>
    <w:p>
      <w:r>
        <w:t>Eine freie Beurteilung durch das kantonale Gericht hätte zum Ergebnis führen müssen, dass ein Tabellenlohnabzug nicht gerechtfertigt ist: Die Vorinstanz begründet den Leidensabzug einzig mit dem Belastbarkeitsprofil der Versicherten. Dass der Beschwerdegegnerin nur noch leichte Tätigkeiten zumutbar sind, ist indes kein Grund für einen leidensbedingten Abzug, zumal der Tabellenlohn im hier zugrunde gelegten Kompetenzniveau 1 bereits eine Vielzahl von leichten und mittelschweren Tätigkeiten umfasst (Urteile 8C_82/2019 vom 19. September 2019 E. 6.3.2 und 9C_284/2018 vom 17. Juli 2018 E. 2.2.1). Daran ändert auch der Umstand nichts, dass die Beschwerdegegnerin gemäss Vorinstanz nur noch für leichte Tätigkeiten "mit weiteren einschränkenden Faktoren" (leichte Tätigkeiten mit überwiegendem Sitzen, in Wechselbelastung, ohne Heben, Tragen und Bewegen von Lasten, ohne Besteigen von Leitern und Gerüsten, ohne kniende oder kniebeugende Körperhaltungen) arbeitsfähig ist. Denn, soweit es sich bei diesen weiteren Faktoren nicht ohnehin nur um eine nähere Umschreibung der leichten Tätigkeit handelt, führen sie zu keinem lohnrelevanten Nachteil. Angesichts des genannten Belastbarkeitsprofils ist von einem genügend breiten Spektrum an zumutbaren Verweisungstätigkeiten auszugehen.</w:t>
      </w:r>
    </w:p>
    <w:p>
      <w:r>
        <w:rPr>
          <w:b/>
        </w:rPr>
        <w:t>E. 4.3.3</w:t>
      </w:r>
    </w:p>
    <w:p>
      <w:r>
        <w:t>Nach dem Gesagten verletzt der von der Vorinstanz gewährte Tabellenlohnabzug Bundesrecht. Folglich ist der angefochtene Entscheid, gemäss welchem die Versicherte Anspruch auf eine halbe Invalidenrente anstelle der von der IV-Stelle zugesprochenen Viertelsrente hat (vgl. E. 2), als bundesrechtswidrig aufzuheben.</w:t>
      </w:r>
    </w:p>
    <w:p>
      <w:r>
        <w:rPr>
          <w:b/>
        </w:rPr>
        <w:t>E. 5</w:t>
      </w:r>
    </w:p>
    <w:p>
      <w:r>
        <w:t>Mit dem Entscheid in der Sache wird das Gesuch um aufschiebende Wirkung gegenstandslos.</w:t>
      </w:r>
    </w:p>
    <w:p>
      <w:r>
        <w:rPr>
          <w:b/>
        </w:rPr>
        <w:t>E. 6</w:t>
      </w:r>
    </w:p>
    <w:p>
      <w:r>
        <w:t>Dem Ausgang des Verfahrens entsprechend hat die Beschwerdegegnerin grundsätzlich die Gerichtskosten zu tragen ( Art. 66 Abs. 1 Satz 1 BGG ). Ihrem Gesuch um unentgeltliche Prozessführung kann jedoch entsprochen werden ( Art. 64 Abs. 1 und 2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