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447/2007 vom 10. Juli 2008</w:t>
      </w:r>
    </w:p>
    <w:p>
      <w:r>
        <w:t>Bundesgericht, 2008-07-10, FR</w:t>
      </w:r>
    </w:p>
    <w:p>
      <w:r>
        <w:rPr>
          <w:b/>
        </w:rPr>
        <w:t xml:space="preserve">Quelle: </w:t>
      </w:r>
      <w:r>
        <w:t>https://mcp.opencaselaw.ch/entscheid/bger_9C_447_2007</w:t>
      </w:r>
    </w:p>
    <w:p>
      <w:r>
        <w:t>FR: TF 9C 447/2007 du 10 juillet 2008</w:t>
      </w:r>
    </w:p>
    <w:p>
      <w:r>
        <w:t>IT: TF 9C 447/2007 del 10 luglio 2008</w:t>
      </w:r>
    </w:p>
    <w:p>
      <w:pPr>
        <w:pStyle w:val="Heading2"/>
      </w:pPr>
      <w:r>
        <w:t>Regeste</w:t>
      </w:r>
    </w:p>
    <w:p>
      <w:r>
        <w:t>Assurance-invalidité | Assurance-invalidité</w:t>
      </w:r>
    </w:p>
    <w:p>
      <w:pPr>
        <w:pStyle w:val="Heading2"/>
      </w:pPr>
      <w:r>
        <w:t>Erwägungen</w:t>
      </w:r>
    </w:p>
    <w:p>
      <w:r>
        <w:rPr>
          <w:b/>
        </w:rPr>
        <w:t>E. 1</w:t>
      </w:r>
    </w:p>
    <w:p>
      <w:r>
        <w:t>Conformément à un principe général du droit des assurances sociales, l'administration (ou l'assureur) peut reconsidérer une décision formellement passée en force de chose jugée et sur laquelle une autorité judiciaire ne s'est pas prononcée quant au fond, à condition qu'elle soit sans nul doute erronée et que sa rectification revête une importance notable ( ATF 127 V 466 consid. 2c p. 469 et les références). Pour juger du bien-fondé d'une reconsidération, il faut se fonder sur la situation juridique existant au moment où la décision initiale a été rendue, compte tenu de la pratique en vigueur à l'époque ( ATF 125 V 383 consid. 3 pp. 389 ss et les références). De jurisprudence constante, l'administration n'est pas tenue de reconsidérer les décisions; elle en a simplement la faculté et ni l'assuré ni le juge ne peuvent l'y contraindre ( ATF 117 V 8 consid. 2a p. 12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 ATF 117 V 8 consid. 2a p. 13, 116 V 62; Meyer-Blaser, Die Bedeutung von Art. 4 Bundesverfassung für das Sozialversicherungsrecht, RDS 111 [1992] II 443 sv.). L'introduction de la LPGA n'a rien changé à cet égard. Le législateur, qui n'a pas voulu déroger à ces principes, n'a fait que codifier cette pratique jurisprudentielle (voir notamment Ueli Kieser, ATSG-Kommentar, Zurich 2003, note 22 ad art. 53; FF 1991 II 258).</w:t>
      </w:r>
    </w:p>
    <w:p>
      <w:r>
        <w:rPr>
          <w:b/>
        </w:rPr>
        <w:t>E. 2</w:t>
      </w:r>
    </w:p>
    <w:p>
      <w:r>
        <w:t>Le recourant soutient que l'intimé était entré en matière sur sa demande de reconsidération en examinant si les conditions en étaient réalisées. Il fait dès lors grief aux juges cantonaux de n'avoir pas abordé les conclusions qu'il avait prises à ce titre (allégué n° 18).</w:t>
      </w:r>
    </w:p>
    <w:p>
      <w:r>
        <w:rPr>
          <w:b/>
        </w:rPr>
        <w:t>E. 3</w:t>
      </w:r>
    </w:p>
    <w:p>
      <w:r>
        <w:t>Dans sa décision sur opposition du 7 juillet 2006, l'intimé a pris position en ces termes sur la demande de reconsidération au sens de l' art. 53 al. 2 LPGA : (...) Dans le cas particulier, la décision du 4 novembre 2003 a été émise après tentative de mesures professionnelles et sur la base d'une expertise pluridisciplinaire analysée par le SMR. Une comparaison des gains, conforme à l'exigibilité retenue par ce service, a été opérée dans le strict respect de la jurisprudence fédérale applicable. Dès lors, notre Office ne saurait qualifier sa décision susmentionnée - au demeurant entrée en force - de manifestement erronée en vertu de l' art. 53 al. 2 LPGA et ne procédera dès lors pas à sa reconsidération. Nonobstant la teneur de cette dernière phrase, on doit admettre que l'administration a examiné, certes sommairement, la demande de reconsidération que le recourant lui avait soumise le 22 mai 2006. Cet examen l'a conduite à nier que les conditions d'une reconsidération fussent remplies, car le refus procédait selon elle d'une application correcte du droit fédéral. En vertu des principes qui viennent d'être rappelés ci-avant au consid. 1 ( ATF 117 V 8 consid. 2a p. 13, 116 V 62), le refus signifié était dès lors susceptible d'être attaqué par la voie d'un recours, si bien que le contrôle juridictionnel dans la procédure de recours subséquente aurait dû porter sur le point de savoir si les conditions d'une reconsidération (inexactitude manifeste de la décision initiale et importance notable de la rectification) étaient réalisées. Sur cette question, le jugement attaqué (consid. 7 in fine, p. 10) est contraire au droit fédéral; à défaut de constatation sur les éléments de fait déterminant à laquelle il ne peut être suppléé d'office, celui-ci doit être annulé, la cause étant renvoyée aux premiers juges afin qu'ils examinent si les conditions d'une reconsidération de la décision du 4 novembre 2003 (inexactitude manifeste de la décision initiale et importance notable de la rectification) étaient ou non réunies, ainsi que les suites que cela entraîne au plan de la procédure cantonale.</w:t>
      </w:r>
    </w:p>
    <w:p>
      <w:r>
        <w:rPr>
          <w:b/>
        </w:rPr>
        <w:t>E. 4</w:t>
      </w:r>
    </w:p>
    <w:p>
      <w:r>
        <w:t>L'intimé, qui succombe, supportera les frais judiciaires ( art. 66 al. 1 LTF ). Pour le même motif, il est redevable d'une indemnité de dépens au recourant ( art. 68 al. 1 LTF ). La demande d'assistance judiciaire n'a dès lors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