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9C_445/2025 vom 29. August 2025</w:t>
      </w:r>
    </w:p>
    <w:p>
      <w:r>
        <w:t>Bundesgericht, 2025-08-29, FR</w:t>
      </w:r>
    </w:p>
    <w:p>
      <w:r>
        <w:rPr>
          <w:b/>
        </w:rPr>
        <w:t xml:space="preserve">Quelle: </w:t>
      </w:r>
      <w:r>
        <w:t>https://mcp.opencaselaw.ch/entscheid/bger_9C_445_2025</w:t>
      </w:r>
    </w:p>
    <w:p>
      <w:r>
        <w:t>FR: TF 9C_445/2025 du 29 août 2025</w:t>
      </w:r>
    </w:p>
    <w:p>
      <w:r>
        <w:t>IT: TF 9C_445/2025 del 29 agosto 2025</w:t>
      </w:r>
    </w:p>
    <w:p>
      <w:pPr>
        <w:pStyle w:val="Heading2"/>
      </w:pPr>
      <w:r>
        <w:t>Erwägungen</w:t>
      </w:r>
    </w:p>
    <w:p>
      <w:r>
        <w:rPr>
          <w:b/>
        </w:rPr>
        <w:t>E. 1</w:t>
      </w:r>
    </w:p>
    <w:p>
      <w:r>
        <w:t>Le 1er juillet 2025, A.________ a interjeté recours contre un arrêt du Tribunal cantonal du canton de Vaud, Cour des assurances sociales, du 10 juin 2025.</w:t>
      </w:r>
    </w:p>
    <w:p>
      <w:r>
        <w:rPr>
          <w:b/>
        </w:rPr>
        <w:t>E. 2</w:t>
      </w:r>
    </w:p>
    <w:p>
      <w:r>
        <w:t>Par ordonnance du 2 juillet 2025, le Tribunal fédéral a imparti à A.________ un délai échéant le 18 août 2025 pour produire le jugement de l'instance précédente, à défaut de quoi le mémoire ne serait pas pris en considération.</w:t>
      </w:r>
    </w:p>
    <w:p>
      <w:r>
        <w:t>L'intéressée n'a pas fait parvenir l'acte cantonal au Tribunal fédéral.</w:t>
      </w:r>
    </w:p>
    <w:p>
      <w:r>
        <w:rPr>
          <w:b/>
        </w:rPr>
        <w:t>E. 3</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En d'autres termes, cela implique que le juge instructeur peut requérir, s'il l'estime nécessaire, la production de l'objet de la contestation, sans pour autant que sa demande relève du formalisme excessif (FLORENCE AUBRY GIRARDIN, in Commentaire de la LTF, 3e éd. 2022, n° 65 ad art. 42 LTF ). L'envoi des pièces requises passé le délai imparti entraîne également l'irrecevabilité du recours (arrêt 7B_178/2025 du 18 mars 2025 consid. 1.1 et les réf. citées).</w:t>
      </w:r>
    </w:p>
    <w:p>
      <w:r>
        <w:rPr>
          <w:b/>
        </w:rPr>
        <w:t>E. 4</w:t>
      </w:r>
    </w:p>
    <w:p>
      <w:r>
        <w:t>En l'occurrence, la recourante a été invitée à produire un exemplaire de la décision attaquée jusqu'au 18 août 2025 par ordonnance du Tribunal fédéral du 2 juillet 2025 - notifiée le 10 juillet 2025 - et a été informée qu'à défaut, son mémoire ne serait pas pris en considération. L'intéressée n'a pas produit l'acte cantonal requis par le Tribunal fédéral dans le délai fixé. Le recours doit dès lors être déclaré irrecevable pour ce motif déjà.</w:t>
      </w:r>
    </w:p>
    <w:p>
      <w:r>
        <w:rPr>
          <w:b/>
        </w:rPr>
        <w:t>E. 5</w:t>
      </w:r>
    </w:p>
    <w:p>
      <w:r>
        <w:t>On ajoutera que 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t>En l'occurrence, la recourante indique que la Cour des assurances sociales aurait suivi les arguments de l'assurance-invalidité et non ceux de ses médecins et fait état d'une péjoration de son état de santé. Ce faisant, elle ne discute pas, même brièvement, les considérants de l'arrêt qu'elle indique attaquer. Sa motivation ne satisfait pas aux exigences de l' art. 42 LTF précité. Au demeurant, le rapport médical qu'elle produit a été établi postérieurement à la date de l'arrêt cantonal qu'elle indique attaquer, de sorte que cette pièce nouvelle est irrecevable (cf. art. 99 al. 1 LTF ).</w:t>
      </w:r>
    </w:p>
    <w:p>
      <w:r>
        <w:rPr>
          <w:b/>
        </w:rPr>
        <w:t>E. 6</w:t>
      </w:r>
    </w:p>
    <w:p>
      <w:r>
        <w:t>Il s'ensuit que le recours est manifestement irrecevable et doit dès lors être écarté selon la procédure simplifiée prévue à l' art. 108 al. 1 let. a LTF . En application de l'art. 66 al. 1, 2e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