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9C_444/2012 vom 29. August 2012</w:t>
      </w:r>
    </w:p>
    <w:p>
      <w:r>
        <w:t>Bundesgericht, 2012-08-29, DE</w:t>
      </w:r>
    </w:p>
    <w:p>
      <w:r>
        <w:rPr>
          <w:b/>
        </w:rPr>
        <w:t xml:space="preserve">Quelle: </w:t>
      </w:r>
      <w:r>
        <w:t>https://mcp.opencaselaw.ch/entscheid/bger_9C_444_2012</w:t>
      </w:r>
    </w:p>
    <w:p>
      <w:r>
        <w:t>FR: TF 9C_444/2012 du 29 août 2012</w:t>
      </w:r>
    </w:p>
    <w:p>
      <w:r>
        <w:t>IT: TF 9C_444/2012 del 29 agosto 2012</w:t>
      </w:r>
    </w:p>
    <w:p>
      <w:pPr>
        <w:pStyle w:val="Heading2"/>
      </w:pPr>
      <w:r>
        <w:t>Erwägungen</w:t>
      </w:r>
    </w:p>
    <w:p>
      <w:r>
        <w:rPr>
          <w:b/>
        </w:rPr>
        <w:t>E. 1</w:t>
      </w:r>
    </w:p>
    <w:p>
      <w:r>
        <w:t>Die Beschwerde an das Bundesgericht ist ein reformatorisches Rechtsmittel ( Art. 107 Abs. 2 BGG ). Ein blosser Antrag auf Rückweisung ist somit nur zulässig, wenn ohnehin nicht reformatorisch entschieden werden könnte ( BGE 134 III 379 E. 1.3 S. 383). Bei Beschwerden in öffentlich-rechtlichen Angelegenheiten wird ein (an sich unzulässiger) reiner Rückweisungsantrag als reformatorisches Begehren interpretiert, wenn sich aus der Begründung hinreichende Elemente dazu finden ( BGE 136 V 131 E. 1.2 S. 135 f.; SVR 2011 BVG Nr. 40 S. 151, 9C_120/2010 E. 1). Dies trifft hier zu. Die beantragte Rückweisung der Sache an die Vorinstanz zur Neubeurteilung bezweckt, den nicht als rechtsgenüglich abgeklärt gerügten Sachverhalt durch Einholung eines umfassenden (orthopädischen und rheumatologischen) medizinischen Gutachtens zu vervollständigen.</w:t>
      </w:r>
    </w:p>
    <w:p>
      <w:r>
        <w:rPr>
          <w:b/>
        </w:rPr>
        <w:t>E. 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 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(SVR 2010 IV Nr. 46 S. 143, 9C_ 1063/2009 E. 4.2.1; Urteil 8C_119/2012 vom 30. März 2012 E. 4 mit Hinweis). Dies gilt grundsätzlich auch in Bezug auf Berichte und Stellungnahmen regionaler ärztlicher Dienste (SVR 2011 IV Nr. 2 S. 7, 9C_904/2009 E. 2.2 mit Hinweisen).</w:t>
      </w:r>
    </w:p>
    <w:p>
      <w:r>
        <w:rPr>
          <w:b/>
        </w:rPr>
        <w:t>E. 3</w:t>
      </w:r>
    </w:p>
    <w:p>
      <w:r>
        <w:t>Die Vorinstanz ist in Würdigung der medizinischen Akten zum Ergebnis gelangt, mit überwiegender Wahrscheinlichkeit sei der Beschwerdeführerin eine angepasste leichte wechselbelastende Tätigkeit, teils sitzend, teils stehend, ohne dauerndes Gehen auf unebenem Gelände, ohne dauerndes Begehen von Treppen, ohne Arbeiten in Zwangshaltungen oder in kauernder Stellung ab dem frühest möglichen Zeitpunkt des Rentenbeginns im Februar 2010 zu 100 % zumutbar. Dabei hat sie im Wesentlichen auf die Aktenbeurteilung des Dr. med. H.________, FMH für Orthopädische Chirurgie und Traumatologie des Bewegungsapparates, vom regionalen ärztlichen Dienst (RAD) der IV-Stelle vom 17. Dezember 2009, 10. Dezember 2010 und 21. Mai 2011 abgestellt.</w:t>
      </w:r>
    </w:p>
    <w:p>
      <w:r>
        <w:rPr>
          <w:b/>
        </w:rPr>
        <w:t>E. 4</w:t>
      </w:r>
    </w:p>
    <w:p>
      <w:r>
        <w:t>Die Beschwerdeführerin rügt eine willkürliche Sachverhaltsfeststellung und Beweiswürdigung durch die Vorinstanz. Ihre Begründung ist indessen nicht stichhaltig:</w:t>
      </w:r>
    </w:p>
    <w:p>
      <w:r>
        <w:rPr>
          <w:b/>
        </w:rPr>
        <w:t>E. 4.1</w:t>
      </w:r>
    </w:p>
    <w:p>
      <w:r>
        <w:t>Vorab hat die Vorinstanz nicht festgestellt, der Bericht des Dr. med. H.________ vom 17. Dezember 2009 stelle eine umfassende Beurteilung des aktuellen medizinischen Sachverhalts dar. Vielmehr stellte das kantonale Versicherungsgericht auf alle Stellungnahmen des RAD-Arztes ab, insbesondere diejenigen vom 10. Dezember 2010 und 21. Mai 2011.</w:t>
      </w:r>
    </w:p>
    <w:p>
      <w:r>
        <w:rPr>
          <w:b/>
        </w:rPr>
        <w:t>E. 4.2</w:t>
      </w:r>
    </w:p>
    <w:p>
      <w:r>
        <w:t>Im Weitern übt die Beschwerdeführerin appellatorische Kritik an der vorinstanzlichen Sachverhaltsfeststellung und Beweiswürdigung, soweit sie vorbringt, der RAD-Arzt würdige lediglich die Folgen der Schenkelhalsfraktur vom ........ 2009 ohne Einbezug der Folgen der Diskushernienoperation vom ........ wie auch der behandelnde Orthopäde Dr. med. E.________ einzig und allein die Hüftproblematik beurteile (vorne E. 2.1). Das kantonale Versicherungsgericht hat festgestellt, Dr. med. H.________ seien die Berichte betreffend das Rückenleiden (insbesondere auch in Bezug auf den Eingriff ........) vorgelegen. Sodann habe Dr. med. E.________ im Bericht vom 8. September 2011 (erstmals) explizit eine Gesamteinschätzung des Gesundheitsschadens bzw. der Auswirkungen auf die Arbeitsfähigkeit unter Berücksichtigung des lumbospondylogenen und radikulären Reizsyndroms S1 links abgegeben. Die Beschwerdeführerin legt nicht dar, inwiefern diese Feststellungen offensichtlich unrichtig sein sollen. Sie sind somit für das Bundesgericht verbindlich.</w:t>
      </w:r>
    </w:p>
    <w:p>
      <w:r>
        <w:t>Wie die Vorinstanz sodann festgestellt hat und was unbestritten ist, wurde die Aktenbeurteilung des RAD-Arztes durch die Einschätzung des Dr. med. E.________ bestätigt. Der Umstand, dass sie diese unter Einbezug der übrigen Akten als plausibler erachtet hat als diejenige der Rheumatologin Dr. med. N.________ vom 2. September 2011, die bei im Wesentlichen gleichen Diagnosen lediglich von einer Arbeitsfähigkeit von 50 % in angepassten Tätigkeiten ausging, lässt nicht schon den Schluss auf willkürliche Beweiswürdigung zu (vorne E. 2.1).</w:t>
      </w:r>
    </w:p>
    <w:p>
      <w:r>
        <w:t>Schliesslich hat die Vorinstanz, entgegen den Vorbringen in der Beschwerde, der Versicherten nicht vorgeworfen, sie sei ihrer Schadenminderungspflicht nicht nachgekommen. Gegenteils hat sie mit Bezug auf eine mögliche Hüftoperation ausdrücklich festgehalten, dass eine solche Massnahme die Zumutbarkeit aus ärztlicher Sicht voraussetze. Abgesehen davon beruhte die Einschätzung der Arbeitsfähigkeit gemäss Dr. med. H.________ und Dr. med. E.________ auf dem Gesundheitszustand vor einem allfälligen Eingriff, der immerhin eine Verbesserung der Schmerzsituation bringen könnte.</w:t>
      </w:r>
    </w:p>
    <w:p>
      <w:r>
        <w:rPr>
          <w:b/>
        </w:rPr>
        <w:t>E. 5</w:t>
      </w:r>
    </w:p>
    <w:p>
      <w:r>
        <w:t>Die vorinstanzliche Invaliditätsbemessung ist weiter nicht bestritten. Es besteht kein Anlass zu einer näheren Prüfung.</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