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9C_441/2014 vom 18. Juni 2014</w:t>
      </w:r>
    </w:p>
    <w:p>
      <w:r>
        <w:t>Bundesgericht, 2014-06-18, DE</w:t>
      </w:r>
    </w:p>
    <w:p>
      <w:r>
        <w:rPr>
          <w:b/>
        </w:rPr>
        <w:t xml:space="preserve">Quelle: </w:t>
      </w:r>
      <w:r>
        <w:t>https://mcp.opencaselaw.ch/entscheid/bger_9C_441_2014</w:t>
      </w:r>
    </w:p>
    <w:p>
      <w:r>
        <w:t>FR: TF 9C_441/2014 du 18 juin 2014</w:t>
      </w:r>
    </w:p>
    <w:p>
      <w:r>
        <w:t>IT: TF 9C_441/2014 del 18 giugno 2014</w:t>
      </w:r>
    </w:p>
    <w:p>
      <w:pPr>
        <w:pStyle w:val="Heading2"/>
      </w:pPr>
      <w:r>
        <w:t>Erwägungen</w:t>
      </w:r>
    </w:p>
    <w:p>
      <w:r>
        <w:rPr>
          <w:b/>
        </w:rPr>
        <w:t>E. 1</w:t>
      </w:r>
    </w:p>
    <w:p>
      <w:r>
        <w:t>Die Beschwerde richtet sich gegen einen Zwischenentscheid im Sinne von Art. 92 f. BGG. Zwischenverfügungen, mit denen eine Begutachtung angeordnet wird, sind vor kantonalem Versicherungsgericht resp. Bundesverwaltungsgericht anfechtbar ( BGE 137 V 210 E. 3.4.2.7 S. 256). Vor Bundesgericht getragen kann ein Rechtsstreit um Fragen der Anordnung einer Administrativbegutachtung jedoch nur, sofern der angefochtene Entscheid den Ausstand einer sachverständigen Person im konkreten Fall betrifft (vgl. Art. 92 Abs. 1 BGG ; BGE 138 V 271 ). Hinsichtlich anderer Aspekte prüft das Bundesgericht die Anordnung des Gutachtens gegebenenfalls zusammen mit dem Endentscheid auf deren Bundesrechtskonformität hin (vgl. Art. 93 Abs. 3 BGG ).</w:t>
      </w:r>
    </w:p>
    <w:p>
      <w:r>
        <w:rPr>
          <w:b/>
        </w:rPr>
        <w:t>E. 2.1</w:t>
      </w:r>
    </w:p>
    <w:p>
      <w:r>
        <w:t>Die Beschwerdeführerin erneuert letztinstanzlich die Rüge, die in Aussicht genommene Untersuchung sei nicht notwendig, die Aktenlage vielmehr bereits ohne diese vollständig (vgl. Ziff. 10 der Beschwerdeschrift). Dabei handelt es sich um ein materielles Vorbringen, das im Rahmen eines Zwischenverfahrens grundsätzlich abschliessend vom kantonalen Gericht behandelt wird (oben E. 1).</w:t>
      </w:r>
    </w:p>
    <w:p>
      <w:r>
        <w:rPr>
          <w:b/>
        </w:rPr>
        <w:t>E. 2.2.1</w:t>
      </w:r>
    </w:p>
    <w:p>
      <w:r>
        <w:t>Im Eventualstandpunkt macht die Beschwerdeführerin, wie schon vor kantonalem Gericht, geltend, Dr. B.________ sei mit Blick auf seine Expertise vom 22. April 2012 vorbefasst und daher nicht geeignet, die strittige Begutachtung vorzunehmen. Zudem hätte sich die IV-Stelle mit ihr über die Person des Sachverständigen einigen müssen (Ziff. 11 ff. der Beschwerdeschrift).</w:t>
      </w:r>
    </w:p>
    <w:p>
      <w:r>
        <w:rPr>
          <w:b/>
        </w:rPr>
        <w:t>E. 2.2.2</w:t>
      </w:r>
    </w:p>
    <w:p>
      <w:r>
        <w:t>Das kantonale Gericht führte dazu unter Hinweis auf BGE 139 V 349 E. 2.2 und 5.2.2.3 aus, bei monodisziplinären Gutachten sei - im Falle eines zulässigen Einwands formeller (Ablehnungsgrund) oder materieller Natur - eine Einigung anzustreben. Hier sei ein solcher Grund allerdings nicht gegeben. Da es sich bloss um eine</w:t>
      </w:r>
    </w:p>
    <w:p>
      <w:r>
        <w:t>Verlaufsbegutachtung handle, erscheine es angezeigt, den bereits mit dem Fall vertrauten Gutachter zu beauftragen (Urteil 9C_1032/2010 vom 1. September 2011 E. 4.1). In der strittigen Verfügung vom 20. Dezember 2013 werde zudem ausdrücklich festgehalten, dass sich der Gutachter nicht mit der Schlüssigkeit seines eigenen früheren Gutachtens auseinanderzusetzen habe; auch sei die Fragestellung nach Einwand der Beschwerdeführerin dahingehend modifiziert worden. Angesichts der Funktion eines Verlaufsgutachtens handle es sich dabei ferner nicht um die (ungerechtfertigte) Einholung einer Zweitmeinung. Somit gebe es keine Einwendungen, welche ein konsensorientiertes Vorgehen gemäss BGE 139 V 349 E. 5.2.2.3 anzeigten (E. 5.3 des angefochtenen Entscheids).</w:t>
      </w:r>
    </w:p>
    <w:p>
      <w:r>
        <w:rPr>
          <w:b/>
        </w:rPr>
        <w:t>E. 2.2.3</w:t>
      </w:r>
    </w:p>
    <w:p>
      <w:r>
        <w:t>Auf die vorinstanzlichen Erwägungen kann vollumfänglich verwiesen werden. Es ist nicht nachvollziehbar, weshalb das Ergebnis einer Aktualisierung der psychiatrischen Expertise nicht mehr als offen erscheinen sollte. Die Frage unzulässiger Vorbefassung stellt sich von vornherein nicht, da vom Gutachter keineswegs verlangt wird, seine eigenen Erhebungen und Folgerungen einer (selbst-) kritischen Neubeurteilung zu unterziehen (vgl. Urteil 8C_89/2007 vom 20. August 2008 E. 6.2 [SVR 2009 IV Nr. 16 S. 41]). Die Zulässigkeit des - im Übrigen sachlich einzig sinnvollen - Vorgehens der IV-Stelle, die Stellungnahme über die weitere Entwicklung beim gleichen Gutachter einzuholen, ergibt sich (a maiore ad minus) schon daraus, dass die Verwaltung beim Gutachter ohne Weiteres auch eine vervollständigende und vertiefende Ergänzung einfordern kann; hier wie dort müssten zur Annahme von Befangenheit weitere Umstände (beispielsweise ein in unsachlichem Duktus verfasster Bericht) hinzukommen (erwähntes Urteil 8C_89/2007 E. 7.2).</w:t>
      </w:r>
    </w:p>
    <w:p>
      <w:r>
        <w:t>Der Administrativexperte geht zudem nach Kenntnisnahme des Privatgutachtens selber von neuen medizinischen Erkenntnissen aus (vgl. Schreiben des Dr. B.________ an die IV-Stelle vom 23. August 2013: "Im neuen Gutachten werden medizinisch neue Sachverhalte erwähnt, so werden Sie wohl nicht um eine Verlaufsbegutachtung herum kommen, oder Sie folgen der Einschätzung der Arbeitsfähigkeit in diesem Gutachten von Dr. F. C.________ vom 27.06.2013 ohne neue Abklärung"). Damit ist auch nicht ersichtlich, weshalb im Hinblick auf die (erneute) "Würdigung der prognostischen Verbesserbarkeit des Leidens an sich seit der Rentenzusprache" oder auf die diagnostische Erfassung der gesundheitlichen Beeinträchtigungen (Beschwerdeschrift S. 12) ein Anschein von gutachterlicher Befangenheit gegeben sein sollte. Die von der Beschwerdeführerin verlangten Einigungsbestrebungen (Ziff. 13 der Beschwerdeschrift) entfallen. Gegenstandslos sind ferner die weiteren Rügen im Zusammenhang mit der Feststellung eines Ausstandsgrundes (vgl. Ziff. 14 f. der Beschwerdeschrift).</w:t>
      </w:r>
    </w:p>
    <w:p>
      <w:r>
        <w:rPr>
          <w:b/>
        </w:rPr>
        <w:t>E. 3</w:t>
      </w:r>
    </w:p>
    <w:p>
      <w:r>
        <w:t>Nach dem Gesagten ist die Beschwerde offensichtlich unzulässig ( Art. 108 Abs. 1 lit. a BGG ). Das Gesuch um aufschiebende Wirkung der Beschwerde wird mit diesem Entscheid gegenstandslos.</w:t>
      </w:r>
    </w:p>
    <w:p>
      <w:r>
        <w:rPr>
          <w:b/>
        </w:rPr>
        <w:t>E. 4</w:t>
      </w:r>
    </w:p>
    <w:p>
      <w:r>
        <w:t>Dem Ausgang des Verfahrens entsprechend wird die Beschwerdeführerin kostenpflichtig ( Art. 66 Abs. 1 BGG ). Die Erledigung im vereinfachten Verfahren ( Art. 108 BGG ) führt zu reduzierten Gerichtskosten (Urteil 9C_743/2012 vom 10. Oktober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