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9C_441/2010 vom 6. April 2011</w:t>
      </w:r>
    </w:p>
    <w:p>
      <w:r>
        <w:t>Bundesgericht, 2011-04-06, FR</w:t>
      </w:r>
    </w:p>
    <w:p>
      <w:r>
        <w:rPr>
          <w:b/>
        </w:rPr>
        <w:t xml:space="preserve">Quelle: </w:t>
      </w:r>
      <w:r>
        <w:t>https://mcp.opencaselaw.ch/entscheid/bger_9C_441_2010</w:t>
      </w:r>
    </w:p>
    <w:p>
      <w:r>
        <w:t>FR: TF 9C_441/2010 du 6 avril 2011</w:t>
      </w:r>
    </w:p>
    <w:p>
      <w:r>
        <w:t>IT: TF 9C_441/2010 del 6 aprile 2011</w:t>
      </w:r>
    </w:p>
    <w:p>
      <w:pPr>
        <w:pStyle w:val="Heading2"/>
      </w:pPr>
      <w:r>
        <w:t>Erwägungen</w:t>
      </w:r>
    </w:p>
    <w:p>
      <w:r>
        <w:rPr>
          <w:b/>
        </w:rPr>
        <w:t>E. 1</w:t>
      </w:r>
    </w:p>
    <w:p>
      <w:r>
        <w:t>Le recours, formé au motif que la juridiction cantonale tardait à rendre une décision ( art. 94 LTF ) sur des prétentions en matière d'assurance-invalidité, concerne une cause qui relève sur le fond du droit public, de sorte qu'il est en principe recevable. Il doit cependant être déclaré sans objet et rayé du rôle. En effet, la recourante ne dispose plus d'un intérêt juridiquement protégé à ce que l'autorité cantonale statue dans un délai de 30 jours puisqu'un jugement a été notifié postérieurement à l'ouverture de l'instance fédérale.</w:t>
      </w:r>
    </w:p>
    <w:p>
      <w:r>
        <w:rPr>
          <w:b/>
        </w:rPr>
        <w:t>E. 2.1</w:t>
      </w:r>
    </w:p>
    <w:p>
      <w:r>
        <w:t>Lorsque, comme en l'espèce, 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(cf. ATF 125 V 373 consid. 2a p. 375).</w:t>
      </w:r>
    </w:p>
    <w:p>
      <w:r>
        <w:rPr>
          <w:b/>
        </w:rPr>
        <w:t>E. 2.2</w:t>
      </w:r>
    </w:p>
    <w:p>
      <w:r>
        <w:t>Aux termes de l' art. 29 al. 1 Cst. ,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 ATF 130 I 312 consid. 5.1 et 5.2 p. 331 s. et les références).</w:t>
      </w:r>
    </w:p>
    <w:p>
      <w:r>
        <w:rPr>
          <w:b/>
        </w:rPr>
        <w:t>E. 2.3</w:t>
      </w:r>
    </w:p>
    <w:p>
      <w:r>
        <w:t>On ajoutera qu'en droit des assurances sociales, la procédure de première instance est gouvernée par le principe de célérité. Ce principe est consacré à l' art. 61 let. a LPGA qui exige des cantons que la procédure soit simple et rapide; il constitue l'expression d'un principe général du droit des assurances sociales ( ATF 110 V 54 consid. 4b p. 61).</w:t>
      </w:r>
    </w:p>
    <w:p>
      <w:r>
        <w:rPr>
          <w:b/>
        </w:rPr>
        <w:t>E. 2.4</w:t>
      </w:r>
    </w:p>
    <w:p>
      <w:r>
        <w:t>A titre d'exemple, la jurisprudence a constaté un retard injustifié à statuer lorsqu'il s'est écoulé un délai de 24 mois entre la fin de l'échange d'écritures devant la juridiction cantonale et le dépôt du recours pour déni de justice au Tribunal fédéral dans un litige qui avait uniquement pour objet le taux d'invalidité du recourant et où celui-ci avait circonscrit son argumentation à deux questions ne présentant pas de difficultés particulières (arrêt 8C_613/2009 du 22 février 2010). A l'occasion d'un autre litige, un délai de dix-huit mois n'a pas été qualifié de retard injustifié, compte tenu notamment de la nécessité de procéder à une appréciation minutieuse de nombreux rapports médicaux ou expertises (arrêt 8C_615/2009 du 28 septembre 2009). Dans une affaire comparable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9C_831/2008 du 12 décembre 2008, in Plädoyer 3/2009 p. 62). Dans le procès qui avait donné lieu à l'arrêt 9C_107/2009 du 9 juin 2009, cité par la recourante, il a été admis qu'un laps de temps de 15 mois entre le dépôt du recours cantonal et le prononcé du jugement, ne paraissait, en soi, pas constituer une durée excessive pour instruire et juger une cause. Toutefois, les circonstances concrètes de ce cas, en particulier l'attitude du juge instructeur, avaient conduit le Tribunal fédéral à retenir la solution contraire. En effet, le recourant, qui par trois fois avait obtenu de l'autorité compétente l'assurance que sa cause serait jugée avant une date déterminée, sans pour autant que cette garantie soit suivie d'effets, pouvait légitimement déposer un recours pour retard injustifié dans la mesure où la juridiction cantonale n'avait pas respecté ses engagements, sans motif ou explication objectifs, contrairement au principe de la bonne foi régissant les relations entre les autorités et les particuliers (cf. art. 5 al. 3 Cst. ; ATF 126 II 97 consid. 4b p. 105 s.).</w:t>
      </w:r>
    </w:p>
    <w:p>
      <w:r>
        <w:rPr>
          <w:b/>
        </w:rPr>
        <w:t>E. 3.1</w:t>
      </w:r>
    </w:p>
    <w:p>
      <w:r>
        <w:t>La recourante a saisi le Tribunal fédéral d'un recours pour déni de justice le 20 mai 2010, soit 19 mois après la clôture de l'échange d'écritures intervenue le 6 octobre 2008. Entre-temps, la juridiction cantonale avait été interpellée à une reprise, en juin 2009. Aucun acte d'instruction n'a été accompli par l'autorité cantonale jusqu'au dépôt du recours pour déni de justice en mai 2010. Quant au fond, le litige avait pour objet le revenu sans invalidité de la recourante, dans le cadre d'une révision du droit à la rente ( art. 17 LPGA ). En pareilles circonstances, la durée de la procédure s'approchait de la limite encore raisonnablement admissible.</w:t>
      </w:r>
    </w:p>
    <w:p>
      <w:r>
        <w:rPr>
          <w:b/>
        </w:rPr>
        <w:t>E. 3.2</w:t>
      </w:r>
    </w:p>
    <w:p>
      <w:r>
        <w:t>Les us et coutumes cantonaux auxquels la juridiction cantonale de recours se réfère, dans ses déterminations du 7 juin 2010, ne sauraient suppléer les règles de droit fédéral que l'on vient de rappeler, lorsqu'il s'agit d'apprécier et de trancher la question d'un retard injustifié. Néanmoins, ces usages cantonaux ont le mérite de délimiter clairement les rapports que la juridiction de recours et les mandataires professionnels doivent entretenir entre eux dans ce genre de situations. S'ils peuvent à certains égards constituer un outil de gestion des affaires judiciaires, ces usages ont aussi pour finalité d'éviter d'engendrer inutilement des recours pour déni de justice, en particulier dans l'éventualité où le jugement attendu est sur le point d'être rendu.</w:t>
      </w:r>
    </w:p>
    <w:p>
      <w:r>
        <w:rPr>
          <w:b/>
        </w:rPr>
        <w:t>E. 3.3</w:t>
      </w:r>
    </w:p>
    <w:p>
      <w:r>
        <w:t>En l'état, la recourante n'aurait pas été fondée à se plaindre d'un retard inadmissible à statuer, car la durée de la procédure n'avait pas encore dépassé la limite généralement admissible. De plus, en l'absence d'une seconde interpellation du juge instructeur, conformément à la pratique vaudoise, on ne saurait faire grief au tribunal cantonal d'avoir adopté une attitude contraire à la bonne foi (cf. consid. 2.4 supra, in fine).</w:t>
      </w:r>
    </w:p>
    <w:p>
      <w:r>
        <w:t>La recourante aurait du reste assurément pu éviter de saisir le Tribunal fédéral d'un recours pour déni de justice, si son mandataire avait interpellé le juge instructeur une seconde fois, car elle aurait appris que le jugement allait être rendu de façon imminente. Ne l'ayant pas fait, elle doit supporter les frais inutiles qu'elle a causés et ne saurait prétendre une indemnité de dépens (cf. consid. 2.1 supra;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