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441/2008 vom 10. Juni 2009</w:t>
      </w:r>
    </w:p>
    <w:p>
      <w:r>
        <w:t>Bundesgericht, 2009-06-10, FR</w:t>
      </w:r>
    </w:p>
    <w:p>
      <w:r>
        <w:rPr>
          <w:b/>
        </w:rPr>
        <w:t xml:space="preserve">Quelle: </w:t>
      </w:r>
      <w:r>
        <w:t>https://mcp.opencaselaw.ch/entscheid/bger_9C_441_2008</w:t>
      </w:r>
    </w:p>
    <w:p>
      <w:r>
        <w:t>FR: TF 9C 441/2008 du 10 juin 2009</w:t>
      </w:r>
    </w:p>
    <w:p>
      <w:r>
        <w:t>IT: TF 9C 441/2008 del 10 giugno 2009</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selon l'art. 95 s.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des faits importants pour le jugement en cause que si ceux-ci ont été constatés en violation du droit au sens de l' art. 95 LTF ou de manière manifestement inexacte ( art. 97 al. 1 LTF ).</w:t>
      </w:r>
    </w:p>
    <w:p>
      <w:r>
        <w:rPr>
          <w:b/>
        </w:rPr>
        <w:t>E. 2.1</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Le juge n'entre donc pas en matière, en règle générale, sur des conclusions qui vont au-delà de l'objet de la contestation ( ATF 125 V 413 consid. 1a p. 414; MEYER/VON ZWEHL, L'objet du litige en procédure de droit administratif fédéral, in: Mélanges Pierre Moor, Berne 2005, n° 8 p. 439).</w:t>
      </w:r>
    </w:p>
    <w:p>
      <w:r>
        <w:rPr>
          <w:b/>
        </w:rPr>
        <w:t>E. 2.2</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 ATF 125 V 413 consid. 1b et 2 p. 414 ss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 ATF 122 V 242 consid. 2a p. 244, 117 V 294 consid. 2a p. 295).</w:t>
      </w:r>
    </w:p>
    <w:p>
      <w:r>
        <w:rPr>
          <w:b/>
        </w:rPr>
        <w:t>E. 2.3</w:t>
      </w:r>
    </w:p>
    <w:p>
      <w:r>
        <w:t>Par sa décision du 4 juillet 2007, - qui détermine l'objet de la contestation -, l'office AI a en réalité octroyé à la recourante une rente entière d'invalidité de manière rétroactive à partir du 1er septembre 2001, puis l'a supprimée à partir du 1er septembre 2007.</w:t>
      </w:r>
    </w:p>
    <w:p>
      <w:r>
        <w:rPr>
          <w:b/>
        </w:rPr>
        <w:t>E. 3</w:t>
      </w:r>
    </w:p>
    <w:p>
      <w:r>
        <w:t>En instance fédérale, la recourante conclut à l'octroi d'un quart de rente d'invalidité depuis le 1er janvier 1998. Le droit éventuel de la recourante à une rente d'invalidité pour la période comprise entre le 1er janvier 1998 et le 31 août 2001 n'a pas fait l'objet d'une décision de l'intimé. Dans ces conditions, la contestation devant la juridiction cantonale n'avait pas d'objet et les premiers juges étaient fondés à ne pas entrer en matière sur ces conclusions. Il appartiendra à l'administration de se prononcer encore sur ce point. Le droit à la rente pour la période comprise entre le 1er septembre 2001 et le 31 août 2007 n'est quant à lui pas litigieux puisque les premiers juges ont confirmé la décision de l'office AI, du 4 juillet 2007, allouant à la recourante une rente entière d'invalidité pour ladite période. On voit donc mal l'intérêt de la recourante à contester ce point. Enfin, dans la mesure où la recourante a conclu à une rente non limitée dans le temps, elle conteste implicitement la décision de suppression de la rente par l'office AI, confirmée par la juridiction cantonale. Il s'ensuit que l'objet du litige sur lequel les premiers juges devaient se prononcer comprenait le point de savoir si c'est à juste titre que l'office AI a supprimé la rente d'invalidité de la recourante à partir du 1er septembre 2007.</w:t>
      </w:r>
    </w:p>
    <w:p>
      <w:r>
        <w:rPr>
          <w:b/>
        </w:rPr>
        <w:t>E. 4.1</w:t>
      </w:r>
    </w:p>
    <w:p>
      <w:r>
        <w:t>Selon la jurisprudence rendue en application du l'art. 41 aLAI, toujours valable sous l'empire de la LPGA ( ATF 130 V 343 ), la décision qui simultanément accorde une rente avec effet rétroactif et en prévoit la réduction ou la suppression correspond à une décision de révision selon l' art. 17 LPGA ( ATF 125 V 413 consid. 2d p. 417 s. et les références). Aux termes de cette disposition, si le degré d'invalidité du bénéficiaire subit une modification notable, la rente est d'office ou sur demande révisée pour l'avenir (augmentée, réduite, supprimée). Tout changement important des circonstances propre à influencer le droit à la rente peut motiver une révision au sens de l' art. 17 LPGA . La rente peut être révisée en cas de modifications sensibles de l'état de santé ou lorsque celui-ci est resté le même mais que ses conséquences sur la capacité de gain ont subi un changement important ( ATF 130 V 343 consid. 3.5 p. 349 ss, 113 V 273 consid. 1a p. 275, ATF 112 V 371 consid. 2b p. 372 s., 387 consid. 1b p. 390 s.). Le point de savoir si un tel changement s'est produit doit être tranché en comparant les faits tels qu'ils se présentaient lors de la décision initiale de rente et les circonstances régnant à l'époque de la décision litigieuse ( ATF 130 V 343 consid. 3.5.2 p. 350 s., 125 V 368 consid. 2 p. 369, ATF 112 V 371 consid. 2b p. 372 s. et 387 consid. 1b p. 390 s. et les références).</w:t>
      </w:r>
    </w:p>
    <w:p>
      <w:r>
        <w:rPr>
          <w:b/>
        </w:rPr>
        <w:t>E. 4.2</w:t>
      </w:r>
    </w:p>
    <w:p>
      <w:r>
        <w:t>En l'espèce, les premiers juges auraient dû comparer au plan économique les circonstances qui se présentaient le 1er septembre 2001 avec celles régnant le 4 juillet 2007. Or, tant l'office AI que la juridiction cantonale ont établi les faits de façon manifestement inexacte ( art. 105 al. 2 LTF ) puisqu'ils ont calculé le taux d'invalidité de la recourante en se fondant sur des revenus hypothétiques réalisés en 1997, respectivement 1998. Il y a dès lors lieu d'annuler le jugement attaqué et de renvoyer la cause à l'office AI afin qu'il se prononce à nouveau sur le droit de la recourante à une rente au-delà du mois d'août 2007, après avoir procédé à la comparaison des revenus sans et avec invalidité (cf. art. 16 LPGA ) déterminants pour l'année 2007. Le recours s'avère par conséquent bien fondé.</w:t>
      </w:r>
    </w:p>
    <w:p>
      <w:r>
        <w:rPr>
          <w:b/>
        </w:rPr>
        <w:t>E. 5</w:t>
      </w:r>
    </w:p>
    <w:p>
      <w:r>
        <w:t>Vu l'issue du litige, les frais et les dépens de la procédure fédérale doivent être mis à la charge de l'intimé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