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440/2011 vom 12. März 2012</w:t>
      </w:r>
    </w:p>
    <w:p>
      <w:r>
        <w:t>Bundesgericht, 2012-03-12, FR</w:t>
      </w:r>
    </w:p>
    <w:p>
      <w:r>
        <w:rPr>
          <w:b/>
        </w:rPr>
        <w:t xml:space="preserve">Quelle: </w:t>
      </w:r>
      <w:r>
        <w:t>https://mcp.opencaselaw.ch/entscheid/bger_9C_440_2011</w:t>
      </w:r>
    </w:p>
    <w:p>
      <w:r>
        <w:t>FR: TF 9C 440/2011 du 12 mars 2012</w:t>
      </w:r>
    </w:p>
    <w:p>
      <w:r>
        <w:t>IT: TF 9C 440/2011 del 12 marzo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Invoquant un déni de justice et une violation du principe inquisitoire, la recourante reproche aux premiers juges de n'avoir pas ordonné une expertise médicale pluridisciplinaire, alors que l'instruction effectuée par l'intimé était insuffisante et lacunaire. L'OAIE s'était en effet fondé seulement sur les rapports du docteur N.________, qui ne l'avait jamais vue, ni examinée. Par ailleurs, comme l'examen que doit mener l'assurance-invalidité n'est pas le même que celui de l'assureur-accidents, qui se limite aux strictes conséquences des accidents assurés, l'intimé aurait dû mettre en oeuvre une expertise.</w:t>
      </w:r>
    </w:p>
    <w:p>
      <w:r>
        <w:rPr>
          <w:b/>
        </w:rPr>
        <w:t>E. 2.1</w:t>
      </w:r>
    </w:p>
    <w:p>
      <w:r>
        <w:t>Selon le principe inquisitoire qui régit la procédure devant le Tribunal administratif fédéral - de même que la procédure administrative dans le domaine des assurances sociales ( art. 43 al. 1 LPGA ) -, le juge constate les faits d'office, avec la collaboration des parties et administre les preuves nécessaires ( art. 12 et 13 PA en relation avec l' art. 37 LTAF ; cf. ATF 125 V 193 consid. 2 p. 195). Le juge peut toutefois considérer qu'un fait est prouvé et renoncer à de plus amples mesures d'instruction lorsqu'au terme d'un examen objectif, il ne conçoit plus de doutes sérieux sur l'existence de ce fait (cf. ATF 130 III 321 consid. 3.2 p. 324; SVR 2007 IV no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en principe, revoir le résultat de l'appréciation anticipée des preuves - et conclure à une violation du principe de la maxime inquisitoire - qu'en cas d'inexactitude manifeste (art. 97 al. 1 et 105 al. 1 et 2 LTF; cf. également MEYER, in Bundesgerichtsgesetz, 2008, n. 34a, 60 et note 170 ad art. 105).</w:t>
      </w:r>
    </w:p>
    <w:p>
      <w:r>
        <w:rPr>
          <w:b/>
        </w:rPr>
        <w:t>E. 2.2</w:t>
      </w:r>
    </w:p>
    <w:p>
      <w:r>
        <w:t>Les arguments soulevés par la recourante ne sont pas propres à remettre en cause le résultat de l'appréciation anticipée des preuves à laquelle a procédé l'autorité de recours de première instance.</w:t>
      </w:r>
    </w:p>
    <w:p>
      <w:r>
        <w:rPr>
          <w:b/>
        </w:rPr>
        <w:t>E. 2.2.1</w:t>
      </w:r>
    </w:p>
    <w:p>
      <w:r>
        <w:t>Comme l'ont dûment retenu les premiers juges, l'expertise pluridisciplinaire des médecins de la Clinique Y.________ (du 27 août 2008), bien que rendue au cours de la procédure administrative en matière d'assurance-accidents, a porté sur l'état de santé de la recourante dans son ensemble et les conclusions n'en sont pas limitées aux aspects propres à l'assurance-accidents. Contrairement à ce qu'allègue la recourante, les docteurs K.________ et L._______ n'ont pas limité leur champ d'investigation à la seule question de la causalité (naturelle) entre les événements accidentels et les atteintes à la santé qu'ils ont diagnostiquées, mais se sont prononcés de manière globale sur ces affections et leurs répercussions éventuelles sur la capacité de travail de l'assurée. Par conséquent, l'expertise de la Clinique Y.________ constituait une évaluation médicale pluridisciplinaire sur laquelle l'autorité de recours de première instance, à l'instar de l'intimé, était fondée à s'appuyer pour constater, sous l'angle du droit de l'assurance-invalidité, que si la recourante présentait un certain nombre d'atteintes sur le plan somatique, celles-ci ne l'empêchaient toutefois pas de manière significative d'exercer son ancienne activité de représentante commerciale.</w:t>
      </w:r>
    </w:p>
    <w:p>
      <w:r>
        <w:rPr>
          <w:b/>
        </w:rPr>
        <w:t>E. 2.2.2</w:t>
      </w:r>
    </w:p>
    <w:p>
      <w:r>
        <w:t>Les critiques de la recourante de nature formelle à l'égard des avis du docteur N.________ ne lui sont par ailleurs d'aucun secours. En effet, les rapports du médecin du service médical de l'OAIE ne constituent pas un examen médical sur la personne de l'assurée (au sens de l' art. 49 al. 2 RAI , relatif aux Services médicaux régionaux [SMR]), ni une expertise au sens de l' art. 44 LPGA . Il s'agit d'une appréciation par le médecin interne de l'OAIE du dossier médical de l'assurée qui a pour but d'opérer la synthèse des renseignements médicaux versés au dossier et de faire des recommandations quant à la suite à donner au cas sur le plan médical. De tels avis ont de ce fait une autre fonction que les expertises médicales au sens de l' art. 44 LPGA ou les résultats des examens médicaux auxquels procède le SMR. Ils ne posent pas de nouvelles conclusions médicales mais portent une appréciation sur celles déjà existantes. Au vu de ces différences, ils ne doivent pas remplir les mêmes exigences au niveau de leur contenu que les expertises médicales. On ne saurait en revanche dénier toute valeur probante aux rapports de synthèse du service médical de l'OAIE, dès lors qu'ils contiennent des informations utiles à la prise de décision pour l'administration ou les tribunaux, sous forme d'un résumé de la situation médicale et d'une appréciation de celle-ci. Selon le principe de la libre appréciation des preuves ( ATF 125 V 351 consid. 3a p. 352), les autorités appelées à statuer ont en effet le devoir d'examiner objectivement tous les documents à disposition, quelle que soit leur provenance, puis de décider s'ils permettent de porter un jugement valable sur le droit litigieux. Dans le cas particulier, les premiers juges ont apprécié librement et de manière circonstanciée l'ensemble des preuves médicales à leur disposition. Au regard de l'expertise pluridisciplinaire de la Clinique Y.________, des avis de synthèse du docteur N.________ et des rapports des docteurs O._______ et P.________, ils ont constaté que la recourante disposait d'une capacité de travail dans son ancienne activité qui excluait une perte de gain. Les conclusions des médecins de la Clinique Y.________, que les avis des docteurs O._______ et P.________ n'étaient pas susceptibles de remettre en cause faute de mettre en évidence des éléments de nature clinique ou diagnostique qui auraient été ignorés par les experts, emportaient leur conviction, si bien qu'une instruction complémentaire n'était pas nécessaire. A cet égard, ils pouvaient retenir, sans qu'on puisse leur reprocher une appréciation arbitraire des preuves, que le diagnostic de syndrome polyalgique de type fibromyalgique, posé uniquement par le docteur P.________ (et ce postérieurement à la date de la décision administrative litigieuse), ne justifiait pas, compte tenu de la jurisprudence y relative (cf. ATF 132 V 65 ), un examen médical supplémentaire en l'absence de tout indice au dossier de symptômes d'une comorbidité psychiatrique.</w:t>
      </w:r>
    </w:p>
    <w:p>
      <w:r>
        <w:rPr>
          <w:b/>
        </w:rPr>
        <w:t>E. 2.2.3</w:t>
      </w:r>
    </w:p>
    <w:p>
      <w:r>
        <w:t>En ce qui concerne le second grief soulevé par la recourante, son argumentation fondée sur un déni de justice n'a aucune portée propre par rapport aux motifs tirés de la violation du principe inquisitoire, de sorte qu'il n'a pas à être examiné plus avant.</w:t>
      </w:r>
    </w:p>
    <w:p>
      <w:r>
        <w:rPr>
          <w:b/>
        </w:rPr>
        <w:t>E. 2.3</w:t>
      </w:r>
    </w:p>
    <w:p>
      <w:r>
        <w:t>En conclusion de ce qui précède, le recours se révèle mal fondé.</w:t>
      </w:r>
    </w:p>
    <w:p>
      <w:r>
        <w:rPr>
          <w:b/>
        </w:rPr>
        <w:t>E. 3</w:t>
      </w:r>
    </w:p>
    <w:p>
      <w:r>
        <w:t>Vu l'issue du litige, les frais de justice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