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9C_43/2019 vom 18. Februar 2019</w:t>
      </w:r>
    </w:p>
    <w:p>
      <w:r>
        <w:t>Bundesgericht, 2019-02-18, DE</w:t>
      </w:r>
    </w:p>
    <w:p>
      <w:r>
        <w:rPr>
          <w:b/>
        </w:rPr>
        <w:t xml:space="preserve">Quelle: </w:t>
      </w:r>
      <w:r>
        <w:t>https://mcp.opencaselaw.ch/entscheid/bger_9C_43_2019</w:t>
      </w:r>
    </w:p>
    <w:p>
      <w:r>
        <w:t>FR: TF 9C_43/2019 du 18 février 2019</w:t>
      </w:r>
    </w:p>
    <w:p>
      <w:r>
        <w:t>IT: TF 9C_43/2019 del 18 febbraio 2019</w:t>
      </w:r>
    </w:p>
    <w:p>
      <w:pPr>
        <w:pStyle w:val="Heading2"/>
      </w:pPr>
      <w:r>
        <w:t>Volltext</w:t>
      </w:r>
    </w:p>
    <w:p>
      <w:r>
        <w:t>Bundesgericht</w:t>
      </w:r>
    </w:p>
    <w:p>
      <w:r>
        <w:t>Tribunal fédéral</w:t>
      </w:r>
    </w:p>
    <w:p>
      <w:r>
        <w:t>Tribunale federale</w:t>
      </w:r>
    </w:p>
    <w:p>
      <w:r>
        <w:t>Tribunal federal</w:t>
      </w:r>
    </w:p>
    <w:p>
      <w:r>
        <w:t>9C_43/2019</w:t>
      </w:r>
    </w:p>
    <w:p>
      <w:r>
        <w:t>Urteil vom 18. Februar 2019</w:t>
      </w:r>
    </w:p>
    <w:p>
      <w:r>
        <w:t>II. sozialrechtliche Abteilung</w:t>
      </w:r>
    </w:p>
    <w:p>
      <w:r>
        <w:t>Besetzung</w:t>
      </w:r>
    </w:p>
    <w:p>
      <w:r>
        <w:t>Bundesrichterin Pfiffner, Präsidentin,</w:t>
      </w:r>
    </w:p>
    <w:p>
      <w:r>
        <w:t>Gerichtsschreiber R. Widmer.</w:t>
      </w:r>
    </w:p>
    <w:p>
      <w:r>
        <w:t>Verfahrensbeteiligte</w:t>
      </w:r>
    </w:p>
    <w:p>
      <w:r>
        <w:t>A.________,</w:t>
      </w:r>
    </w:p>
    <w:p>
      <w:r>
        <w:t>Beschwerdeführerin,</w:t>
      </w:r>
    </w:p>
    <w:p>
      <w:r>
        <w:t>gegen</w:t>
      </w:r>
    </w:p>
    <w:p>
      <w:r>
        <w:t>Easy Sana Krankenversicherung AG, Rue des Cèdres 5, 1920 Martigny,</w:t>
      </w:r>
    </w:p>
    <w:p>
      <w:r>
        <w:t>Beschwerdegegnerin.</w:t>
      </w:r>
    </w:p>
    <w:p>
      <w:r>
        <w:t>Gegenstand</w:t>
      </w:r>
    </w:p>
    <w:p>
      <w:r>
        <w:t>Krankenversicherung,</w:t>
      </w:r>
    </w:p>
    <w:p>
      <w:r>
        <w:t>Beschwerde gegen den Entscheid des Versicherungsgerichts des Kantons Aargau</w:t>
      </w:r>
    </w:p>
    <w:p>
      <w:r>
        <w:t>vom 19. Dezember 2018 (VBE.2018.401).</w:t>
      </w:r>
    </w:p>
    <w:p>
      <w:r>
        <w:t>Nach Einsicht</w:t>
      </w:r>
    </w:p>
    <w:p>
      <w:r>
        <w:t>in die Beschwerde vom 18. Januar 2019 (Poststempel) gegen den Entscheid des Versicherungsgerichts des Kantons Aargau vom 19. Dezember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dem Sinne nach einen Antrag enthält, den Ausführungen jedoch nicht entnommen werden kann, inwiefern die Sachverhaltsfeststellung gemäss Art. 97 Abs. 1 BGG - soweit überhaupt beanstandet - unzutreffend und die darauf beruhenden Erwägungen rechtsfehlerhaft sein sollen,</w:t>
      </w:r>
    </w:p>
    <w:p>
      <w:r>
        <w:t>dass sich die Beschwerdeführerin vielmehr in keiner Weise mit den vorinstanzlichen Erwägungen auseinandersetzt,</w:t>
      </w:r>
    </w:p>
    <w:p>
      <w:r>
        <w:t>dass deshalb im vereinfachten Verfahren nach Art. 108 Abs. 1 lit. b BGG auf die offensichtlich unzulässige Beschwerde nicht einzutreten ist und die Beschwerdeführerin nach Art. 66 Abs. 1 und 3 BGG kostenpflichtig wird,</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Aargau und dem Bundesamt für Gesundheit schriftlich mitgeteilt.</w:t>
      </w:r>
    </w:p>
    <w:p>
      <w:r>
        <w:t>Luzern, 18. Februar 2019</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