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43/2016 vom 22. Januar 2016</w:t>
      </w:r>
    </w:p>
    <w:p>
      <w:r>
        <w:t>Bundesgericht, 2016-01-22, DE</w:t>
      </w:r>
    </w:p>
    <w:p>
      <w:r>
        <w:rPr>
          <w:b/>
        </w:rPr>
        <w:t xml:space="preserve">Quelle: </w:t>
      </w:r>
      <w:r>
        <w:t>https://mcp.opencaselaw.ch/entscheid/bger_9C_43_2016</w:t>
      </w:r>
    </w:p>
    <w:p>
      <w:r>
        <w:t>FR: TF 9C 43/2016 du 22 janvier 2016</w:t>
      </w:r>
    </w:p>
    <w:p>
      <w:r>
        <w:t>IT: TF 9C 43/2016 del 22 gennaio 2016</w:t>
      </w:r>
    </w:p>
    <w:p>
      <w:pPr>
        <w:pStyle w:val="Heading2"/>
      </w:pPr>
      <w:r>
        <w:t>Regeste</w:t>
      </w:r>
    </w:p>
    <w:p>
      <w:r>
        <w:t>Invalidenversicherung | Invalidenversicherung</w:t>
      </w:r>
    </w:p>
    <w:p>
      <w:pPr>
        <w:pStyle w:val="Heading2"/>
      </w:pPr>
      <w:r>
        <w:t>Volltext</w:t>
      </w:r>
    </w:p>
    <w:p>
      <w:r>
        <w:t>Bundesgericht IV. Öffentlich-rechtliche Abteilung 22.01.2016 9C 43/2016 (9C_43/2016) Tribunal fédéral IVe Cour de droit public (IIe Cour de droit social) 22.01.2016 9C 43/2016 (9C_43/2016) Tribunale federale IV Corte di diritto pubblico (II Corte di diritto sociale) 22.01.2016 9C 43/2016 (9C_43/2016)</w:t>
      </w:r>
    </w:p>
    <w:p>
      <w:r>
        <w:t>Invalidenversicherung | Invalidenversicherung</w:t>
      </w:r>
    </w:p>
    <w:p>
      <w:r>
        <w:t>Bundesgericht Tribunal fédéral Tribunale federale Tribunal federal {T 0/2} 9C_43/2016 Urteil vom 22. Januar 2016 II. sozialrechtliche Abteilung Besetzung Bundesrichter Meyer, als Einzelrichter, Gerichtsschreiberin Bollinger Hammerle. Verfahrensbeteiligte A.________, Beschwerdeführer, gegen IV-Stelle Luzern, Landenbergstrasse 35, 6005 Luzern, Beschwerdegegnerin. Gegenstand Invalidenversicherung, Beschwerde gegen den Entscheid des Kantonsgerichts Luzern, 3. Abteilung, vom 1. Dezember 2015. Nach Einsicht in die Beschwerde vom 16. Januar 2016 (Poststempel) gegen den Entscheid des Kantonsgerichts Luzern, 3. Abteilung, vom 1. Dezember 2015, in Erwägung, dass das Bundesgericht von Amtes wegen und mit freier Kognition prüft, ob ein Rechtsmittel zulässig ist ( BGE 138 V 318 E. 6 S. 320; 135 III 1 E. 1.1 S. 3 und 134 III 115 E. 1 S. 117 sowie 379 E. 1 S. 381), dass es sich beim Anfechtungsobjekt um einen Zwischenentscheid im Sinne von Art. 92 f. BGG handelt, folgt doch die Qualifikation des angefochtenen Gerichtsentscheids der Rechtsnatur des Anfechtungsobjekts im kantonalen Prozess ( BGE 138 V 271 E. 2.1 S. 277; 133 V 477 E. 4.2 S. 481 f.), dass gerichtliche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271 E. 3.1 S. 278 mit Hinweisen und 318), dass sich ein Ausstandsbegehren stets nur gegen Personen richten kann, hingegen nicht gegen eine Gutachterstelle, da nur die für diese tätigen Personen, nicht aber die Gutachterstelle als solche befangen sein kann (Urteil 9C_810/2014 vom 1. Dezember 2014 E. 1.2), dass die formelle Ablehnung sachverständiger Personen regelmässig nicht allein mit strukturellen Umständen begründet werden kann, wie sie in BGE 137 V 210 behandelt worden sind ( BGE 138 V 271 E. 2.2 S. 277), dass das Bundesgericht die Anordnung eines Gutachtens hinsichtlich anderer Aspekte gegebenenfalls zusammen mit dem Endentscheid auf deren Bundesrechtskonformität hin überprüft (vgl. Art. 93 Abs. 3 BGG ; statt vieler: Urteile 9C_927/2015 vom 18. Dezember 2015 mit Hinweisen, 9C_810/2014 vom 1. Dezember 2014 und 8C_497/2014 vom 31. Oktober 2014 E. 1.3.1), dass der Beschwerdeführer keine formellen Ausstandsgründe geltend macht, sondern verschiedene Rechtsverletzungen rügt, die nach dem Gesagten in diesem Verfahren nicht behandelt werden können (sondern in einem allfälligen Beschwerdeverfahren gegen den Endentscheid vor Bundesgericht zu thematisieren wären), dass demzufolge im vereinfachten Verfahren nach Art. 108 Abs. 1 lit. a sowie Abs. 2 BGG auf die offensichtlich unzulässige Beschwerde nicht einzutreten ist, dass das Gesuch um Erteilung der aufschiebenden Wirkung damit gegenstandslos wird, dass in Anwendung von Art. 66 Abs. 1 Satz 2 BGG umständehalber auf die Erhebung von Gerichtskosten verzichtet wird, erkennt der Einzelrichter: 1. Auf die Beschwerde wird nicht eingetreten. 2. Es werden keine Gerichtskosten erhoben. 3. Dieses Urteil wird den Parteien, dem Kantonsgericht Luzern, 3. Abteilung, und dem Bundesamt für Sozialversicherungen schriftlich mitgeteilt. Luzern, 22. Januar 2016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