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9C_43/2013 vom 5. März 2013</w:t>
      </w:r>
    </w:p>
    <w:p>
      <w:r>
        <w:t>Bundesgericht, 2013-03-05, IT</w:t>
      </w:r>
    </w:p>
    <w:p>
      <w:r>
        <w:rPr>
          <w:b/>
        </w:rPr>
        <w:t xml:space="preserve">Quelle: </w:t>
      </w:r>
      <w:r>
        <w:t>https://mcp.opencaselaw.ch/entscheid/bger_9C_43_2013</w:t>
      </w:r>
    </w:p>
    <w:p>
      <w:r>
        <w:t>FR: TF 9C_43/2013 du 5 mars 2013</w:t>
      </w:r>
    </w:p>
    <w:p>
      <w:r>
        <w:t>IT: TF 9C_43/2013 del 5 marzo 2013</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w:t>
      </w:r>
    </w:p>
    <w:p>
      <w:r>
        <w:t>Oggetto del contendere è la decisione con la quale la Corte cantonale ha confermato la ripresa salariale dell'importo di fr. 62'650.- che il Consorzio ricorrente ha versato a titolo di rimborso del premio dell'assicurazione contro la perdita di guadagno in caso di malattia a quei dipendenti che nel corso dell'anno 2011 non erano stati assenti per malattia o comunque lo erano stati solo per pochi giorni. In effetti, per quanto pacificamente accertato dalla Corte cantonale, allo scopo - apparentemente raggiunto - di ridurre le ripetute assenze per malattia inferiori a tre giorni che non richiedono una giustificazione mediante certificato medico, il Consorzio insorgente ha introdotto all' art. 47 cpv. 3 del Regolamento organico dei suoi dipendenti (ROD) il principio secondo cui:</w:t>
      </w:r>
    </w:p>
    <w:p>
      <w:r>
        <w:t>A dipendenza dei giorni di assenza effettivi per malattia, tenuto conto della percentuale d'impiego, il dipendente ha diritto a fine anno o alla fine del rapporto di lavoro ai seguenti rimborsi sulla sua quota parte del premio per l'assicurazione perdita di guadagno per malattia:</w:t>
      </w:r>
    </w:p>
    <w:p>
      <w:r>
        <w:t>0 - 5 giorni: rimborso 100%</w:t>
      </w:r>
    </w:p>
    <w:p>
      <w:r>
        <w:rPr>
          <w:b/>
        </w:rPr>
        <w:t>E. 6</w:t>
      </w:r>
    </w:p>
    <w:p>
      <w:r>
        <w:t>Gli accertamenti del giudizio impugnato, per nulla arbitrari, ma anzi conformi agli atti, vincolano il Tribunale federale il quale condivide pure in pieno le conclusioni giuridiche che ne sono state tratte. Anche volendo per ipotesi - che però, per quanto verrà esposto in seguito, non occorre approfondire oltre in questa sede, anche perché la risposta dell'UFAS del 4 aprile 2011 alla richiesta d'informazione sul tema della vicepresidente del Consorzio ricorrente costituisce un inammissibile novum ( art. 99 cpv. 1 LTF ; Bernard Corboz, Commentaire de la LTF, 2009, n. 13 e 15 all' art. 99 LTF ) - fare rientrare i premi di assicurazione contro la perdita di guadagno in caso di malattia retta dalla LCA, ossia dal diritto privato, nel possibile campo di applicazione dell' art. 8 lett. b OAVS , la fattispecie in esame andrebbe comunque giudicata similmente a quanto fatto in DTF 126 V 221 . Infatti, rimborsando - per giunta solo di caso in caso, alle condizioni poste dall'art. 47 cpv. 3 ROD e quindi senza garantire a tutti i salariati lo stesso trattamento - ai dipendenti i premi inizialmente pagati da loro, poiché prelevati dai loro stipendi, il datore non ha di certo pagato i contributi direttamente all'assicuratore contro la perdita di guadagno in caso di malattia, come pretende invece la norma in esame, ma ha anzi fatto sì - contrariamente allo scopo perseguito - che i lavoratori potessero in sostanza disporne liberamente. Quanto basta - alla luce della suesposta prassi giudiziaria che, in assenza di serio motivo, non occorre rivedere ( DTF 133 V 37 consid. 5.3.3 pag. 39) - per negare ai contributi in esame la qualifica di prestazione di carattere sociale ai sensi dell' art. 5 cpv. 4 LAVS come pure l'applicazione dell' art. 8 lett. b OAVS (cfr. pure VSI 1996 pag. 289 seg.).</w:t>
      </w:r>
    </w:p>
    <w:p>
      <w:r>
        <w:t>Questa conclusione non deve sorprendere più di tanto il Consorzio insorgente perché a ben vedere gli obiettivi da esso perseguiti, che in definitiva tendono a favorire - per legittime ragioni sue di natura imprenditoriale - i lavoratori che non si assentano o si assentano poco per malattia e, di riflesso, a sfavorire gli altri, non coincidono per nulla con gli intendimenti dell' art. 8 lett. b OAVS , che al contrario mira unicamente ed eccezionalmente a esonerare dall'obbligo contributivo quelle prestazioni a carattere sociale che vengono fornite a tutela di situazioni di bisogno dei lavoratori. Se pertanto intende beneficiare dell'esenzione contributiva, nulla impedisce al Consorzio insorgente di assumere la quota parte dei salariati e versarla direttamente all'assicuratore interessato (cfr. DTF 126 V 221 consid. 7b in fine pag. 225).</w:t>
      </w:r>
    </w:p>
    <w:p>
      <w:r>
        <w:rPr>
          <w:b/>
        </w:rPr>
        <w:t>E. 7</w:t>
      </w:r>
    </w:p>
    <w:p>
      <w:r>
        <w:t>Per quanto precede, il gravame va respinto e la pronuncia impugnata confermata senza che occorra esaminare le ulteriori censure ricorsuali. Le spese seguono la soccombenza e sono poste a carico del ricorrente (art. 66.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